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19" w:rsidRPr="008D5705" w:rsidRDefault="000A6B19" w:rsidP="00BB1FB2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4"/>
          <w:szCs w:val="24"/>
        </w:rPr>
      </w:pPr>
      <w:r w:rsidRPr="008D5705">
        <w:rPr>
          <w:rFonts w:ascii="Century Gothic" w:hAnsi="Century Gothic" w:cs="Arial"/>
          <w:b/>
          <w:color w:val="auto"/>
          <w:sz w:val="24"/>
          <w:szCs w:val="24"/>
        </w:rPr>
        <w:t>ANEXO I</w:t>
      </w:r>
      <w:r w:rsidR="008D5705" w:rsidRPr="008D5705">
        <w:rPr>
          <w:rFonts w:ascii="Century Gothic" w:hAnsi="Century Gothic" w:cs="Arial"/>
          <w:b/>
          <w:color w:val="auto"/>
          <w:sz w:val="24"/>
          <w:szCs w:val="24"/>
        </w:rPr>
        <w:t>I</w:t>
      </w:r>
      <w:bookmarkStart w:id="0" w:name="_GoBack"/>
      <w:bookmarkEnd w:id="0"/>
    </w:p>
    <w:p w:rsidR="00530909" w:rsidRPr="008D5705" w:rsidRDefault="00022652" w:rsidP="00BB1FB2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8D5705">
        <w:rPr>
          <w:rFonts w:ascii="Century Gothic" w:hAnsi="Century Gothic" w:cs="Arial"/>
          <w:b/>
          <w:color w:val="auto"/>
          <w:sz w:val="24"/>
          <w:szCs w:val="24"/>
        </w:rPr>
        <w:t>TERMO DE CESSÃO DE DIREITOS AUTORAIS</w:t>
      </w:r>
    </w:p>
    <w:p w:rsidR="008D5705" w:rsidRPr="008D5705" w:rsidRDefault="008D5705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</w:p>
    <w:p w:rsidR="00022652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Pelo presente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Termo de Cessão de Direitos de Autor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eu ____________________________</w:t>
      </w:r>
      <w:r w:rsid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__, ________</w:t>
      </w:r>
      <w:r w:rsidR="00C83872"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(</w:t>
      </w:r>
      <w:r w:rsidR="00C83872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nacionalidade</w:t>
      </w:r>
      <w:r w:rsidR="00C83872"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)___________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</w:t>
      </w:r>
      <w:r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 xml:space="preserve"> </w:t>
      </w:r>
      <w:r w:rsidR="00C83872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 xml:space="preserve">      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(</w:t>
      </w:r>
      <w:r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estado civil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)</w:t>
      </w:r>
      <w:r w:rsidR="00B338C3"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u w:val="single"/>
          <w:lang w:val="pt-BR"/>
        </w:rPr>
        <w:t>,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discente de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graduação do curso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____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</w:t>
      </w:r>
      <w:r w:rsidR="00C83872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portador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do documento de iden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dade RG nº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expedido por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UF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inscrito no CPF sob nº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</w:t>
      </w:r>
      <w:r w:rsidR="00C83872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residente e domiciliado/a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na Rua/Avenida/Travessa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nº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Bairro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CEP: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na cidade de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- Estado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doravante denominada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de outro lado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UNIVERSIDADE FEDERAL DO SUL DA BAHIA-UFSB, autarquia federal de ensino superior, Lei nº 12.818/2013, de 05-06-2013, vinculada ao Ministério da Educação, inscrita no CNPJ sob nº 18.560.547/0001-07, com sede na Praça José Bastos, s/n, Centro, Itabuna – BA, CEP 45.600-923, neste ato representada pela Pró-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R</w:t>
      </w:r>
      <w:r w:rsidR="00C83872">
        <w:rPr>
          <w:rFonts w:ascii="Century Gothic" w:hAnsi="Century Gothic" w:cs="Arial"/>
          <w:color w:val="0D0D0D" w:themeColor="text1" w:themeTint="F2"/>
          <w:szCs w:val="24"/>
          <w:lang w:val="pt-BR"/>
        </w:rPr>
        <w:t>eitoria de Ações Afirmativas (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PROAF</w:t>
      </w:r>
      <w:r w:rsidR="00C83872">
        <w:rPr>
          <w:rFonts w:ascii="Century Gothic" w:hAnsi="Century Gothic" w:cs="Arial"/>
          <w:color w:val="0D0D0D" w:themeColor="text1" w:themeTint="F2"/>
          <w:szCs w:val="24"/>
          <w:lang w:val="pt-BR"/>
        </w:rPr>
        <w:t>)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doravante denominada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CESSIONÁRIA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têm, entre si, como justo e acordado, na melhor forma de direito, o que segue:</w:t>
      </w:r>
    </w:p>
    <w:p w:rsidR="00C83872" w:rsidRPr="008D5705" w:rsidRDefault="00C8387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Cláusula Primeira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–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tular dos dir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eitos autorais sobre a Receita intitulada ____________________</w:t>
      </w:r>
      <w:r w:rsidR="006A6F08">
        <w:rPr>
          <w:rFonts w:ascii="Century Gothic" w:hAnsi="Century Gothic" w:cs="Arial"/>
          <w:color w:val="0D0D0D" w:themeColor="text1" w:themeTint="F2"/>
          <w:szCs w:val="24"/>
          <w:lang w:val="pt-BR"/>
        </w:rPr>
        <w:t>___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______,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criada no 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ano de 2023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cede e transfere a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CESSIONÁRIA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em caráter total, defini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vo, irrevogável, irretratável, a 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tí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tulo universal e gratuito, o direito exclusivo de uso, exploração, publicação, exposição, reprodução, impressão, distribuição e qualquer outra forma de u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lização que se entender per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nente, a qualquer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tempo, em território nacional e estrangeiro, nos termos do art. 111 da Lei nº 8.666/93 e da Lei 9.610/98,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que regulamenta os Direitos Autorais, entendendo-se sob esta denominação os direitos de autor e os que lhes são conexos.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Parágrafo único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- A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CESSIONÁRIA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fica autorizada pela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a exercer os direitos estabelecidos na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cláusula primeira do presente instrumento par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cular, sem necessidade de consulta prévia à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/ao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CEDENTE e sem obrigação de indicar autoria na u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lização, podendo, também, alterar ou adaptar o que é cedido, sem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a referida anuência.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Cláusula Segunda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–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declara que a Receita intitulada ________</w:t>
      </w:r>
      <w:r w:rsidR="006A6F08">
        <w:rPr>
          <w:rFonts w:ascii="Century Gothic" w:hAnsi="Century Gothic" w:cs="Arial"/>
          <w:color w:val="0D0D0D" w:themeColor="text1" w:themeTint="F2"/>
          <w:szCs w:val="24"/>
          <w:lang w:val="pt-BR"/>
        </w:rPr>
        <w:t>_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objeto desta Cessão de Direitos Autorais, é de sua autoria, responsabilizando-se por eventuais ques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onamentos judiciais ou extrajudiciais em decorrência de sua divulgação.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Cláusula Terceira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–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/O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declara ainda, sob sua integral responsabilidade, não exis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r nenhuma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proibição tácita ou expressa, vinculada à divulgação da Receita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intitulada 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lastRenderedPageBreak/>
        <w:t>_____________________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de sua autoria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objeto desta Cessão de Direitos Autorais, estando livre de quaisquer ônus ou impedimento perante o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ordenamento jurídico brasileiro.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Cláusula Quarta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- A qualquer momento, devido as exigências do INPI, tanto </w:t>
      </w:r>
      <w:r w:rsidR="00B338C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quanto </w:t>
      </w:r>
      <w:r w:rsidR="00B338C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CESSIONÁRIA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="00B338C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poderão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ser convocados a prestar informações técnicas dos inventos a fim de manter o registro da invenção na ins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tuição.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Cláusula Quinta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- O foro competente para dirimir dúvidas ou li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tí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gios que possam ser supracitadas na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</w:t>
      </w:r>
      <w:r w:rsidR="00B338C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interpretação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e cumprimento do presente Termo de Cessão de Direitos Autorais é o da Jus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ti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ça Federal,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Seção Judiciária da Bahia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, Subseção Judiciária de </w:t>
      </w:r>
      <w:r w:rsidR="00074B93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Itabuna-Ba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, nos termos do inciso I do art.109da Constituição Federal, com expressa renúncia a qualquer outro, ainda que privilegiado.</w:t>
      </w:r>
    </w:p>
    <w:p w:rsidR="008D5705" w:rsidRPr="008D5705" w:rsidRDefault="008D5705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</w:p>
    <w:p w:rsidR="00074B93" w:rsidRPr="008D5705" w:rsidRDefault="00022652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E por estarem justas e acordadas,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e </w:t>
      </w:r>
      <w:r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CESSIONÁRIA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assinam o presente instrumento particular</w:t>
      </w:r>
      <w:r w:rsidR="008D5705"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:</w:t>
      </w:r>
    </w:p>
    <w:p w:rsidR="008D5705" w:rsidRPr="008D5705" w:rsidRDefault="008D5705" w:rsidP="00022652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</w:p>
    <w:p w:rsidR="00074B93" w:rsidRPr="008D5705" w:rsidRDefault="00074B93" w:rsidP="00074B93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i/>
          <w:color w:val="0D0D0D" w:themeColor="text1" w:themeTint="F2"/>
          <w:szCs w:val="24"/>
          <w:lang w:val="pt-BR"/>
        </w:rPr>
        <w:t xml:space="preserve">__________________,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______de __________________________de 2023.</w:t>
      </w:r>
    </w:p>
    <w:p w:rsidR="008D5705" w:rsidRPr="008D5705" w:rsidRDefault="008D5705" w:rsidP="0002265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noProof/>
          <w:color w:val="0D0D0D" w:themeColor="text1" w:themeTint="F2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C9FEA" wp14:editId="0E4FBFD5">
                <wp:simplePos x="0" y="0"/>
                <wp:positionH relativeFrom="column">
                  <wp:posOffset>2847975</wp:posOffset>
                </wp:positionH>
                <wp:positionV relativeFrom="paragraph">
                  <wp:posOffset>139700</wp:posOffset>
                </wp:positionV>
                <wp:extent cx="3543300" cy="11620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05" w:rsidRDefault="008D5705" w:rsidP="008D570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color w:val="0D0D0D" w:themeColor="text1" w:themeTint="F2"/>
                                <w:szCs w:val="24"/>
                                <w:lang w:val="pt-BR"/>
                              </w:rPr>
                            </w:pPr>
                            <w:r w:rsidRPr="008D5705">
                              <w:rPr>
                                <w:rFonts w:ascii="Century Gothic" w:hAnsi="Century Gothic" w:cs="Arial"/>
                                <w:color w:val="0D0D0D" w:themeColor="text1" w:themeTint="F2"/>
                                <w:szCs w:val="24"/>
                                <w:lang w:val="pt-BR"/>
                              </w:rPr>
                              <w:t>UNIVERSIDADE FEDERAL DO SUL DA BAHIA</w:t>
                            </w:r>
                          </w:p>
                          <w:p w:rsidR="008D5705" w:rsidRPr="008D5705" w:rsidRDefault="008D5705" w:rsidP="008D570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color w:val="0D0D0D" w:themeColor="text1" w:themeTint="F2"/>
                                <w:szCs w:val="24"/>
                                <w:lang w:val="pt-BR"/>
                              </w:rPr>
                            </w:pPr>
                            <w:proofErr w:type="spellStart"/>
                            <w:r w:rsidRPr="008D5705">
                              <w:rPr>
                                <w:rFonts w:ascii="Century Gothic" w:hAnsi="Century Gothic" w:cs="Arial"/>
                                <w:color w:val="0D0D0D" w:themeColor="text1" w:themeTint="F2"/>
                                <w:szCs w:val="24"/>
                                <w:lang w:val="pt-BR"/>
                              </w:rPr>
                              <w:t>Pró-reitoria</w:t>
                            </w:r>
                            <w:proofErr w:type="spellEnd"/>
                            <w:r w:rsidRPr="008D5705">
                              <w:rPr>
                                <w:rFonts w:ascii="Century Gothic" w:hAnsi="Century Gothic" w:cs="Arial"/>
                                <w:color w:val="0D0D0D" w:themeColor="text1" w:themeTint="F2"/>
                                <w:szCs w:val="24"/>
                                <w:lang w:val="pt-BR"/>
                              </w:rPr>
                              <w:t xml:space="preserve"> de Ações Afirmativas- PROAF</w:t>
                            </w:r>
                          </w:p>
                          <w:p w:rsidR="008D5705" w:rsidRPr="008D5705" w:rsidRDefault="008D5705" w:rsidP="008D570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Cs w:val="24"/>
                                <w:lang w:val="pt-BR"/>
                              </w:rPr>
                            </w:pPr>
                            <w:r w:rsidRPr="008D5705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Cs w:val="24"/>
                                <w:lang w:val="pt-BR"/>
                              </w:rPr>
                              <w:t>CESSIONÁRIA</w:t>
                            </w:r>
                          </w:p>
                          <w:p w:rsidR="008D5705" w:rsidRPr="008D5705" w:rsidRDefault="008D5705" w:rsidP="008D57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C9F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4.25pt;margin-top:11pt;width:279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" filled="f" stroked="f">
                <v:textbox>
                  <w:txbxContent>
                    <w:p w:rsidR="008D5705" w:rsidRDefault="008D5705" w:rsidP="008D570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color w:val="0D0D0D" w:themeColor="text1" w:themeTint="F2"/>
                          <w:szCs w:val="24"/>
                          <w:lang w:val="pt-BR"/>
                        </w:rPr>
                      </w:pPr>
                      <w:r w:rsidRPr="008D5705">
                        <w:rPr>
                          <w:rFonts w:ascii="Century Gothic" w:hAnsi="Century Gothic" w:cs="Arial"/>
                          <w:color w:val="0D0D0D" w:themeColor="text1" w:themeTint="F2"/>
                          <w:szCs w:val="24"/>
                          <w:lang w:val="pt-BR"/>
                        </w:rPr>
                        <w:t>UNIVERSIDADE FEDERAL DO SUL DA BAHIA</w:t>
                      </w:r>
                    </w:p>
                    <w:p w:rsidR="008D5705" w:rsidRPr="008D5705" w:rsidRDefault="008D5705" w:rsidP="008D570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color w:val="0D0D0D" w:themeColor="text1" w:themeTint="F2"/>
                          <w:szCs w:val="24"/>
                          <w:lang w:val="pt-BR"/>
                        </w:rPr>
                      </w:pPr>
                      <w:proofErr w:type="spellStart"/>
                      <w:r w:rsidRPr="008D5705">
                        <w:rPr>
                          <w:rFonts w:ascii="Century Gothic" w:hAnsi="Century Gothic" w:cs="Arial"/>
                          <w:color w:val="0D0D0D" w:themeColor="text1" w:themeTint="F2"/>
                          <w:szCs w:val="24"/>
                          <w:lang w:val="pt-BR"/>
                        </w:rPr>
                        <w:t>Pró-reitoria</w:t>
                      </w:r>
                      <w:proofErr w:type="spellEnd"/>
                      <w:r w:rsidRPr="008D5705">
                        <w:rPr>
                          <w:rFonts w:ascii="Century Gothic" w:hAnsi="Century Gothic" w:cs="Arial"/>
                          <w:color w:val="0D0D0D" w:themeColor="text1" w:themeTint="F2"/>
                          <w:szCs w:val="24"/>
                          <w:lang w:val="pt-BR"/>
                        </w:rPr>
                        <w:t xml:space="preserve"> de Ações Afirmativas- PROAF</w:t>
                      </w:r>
                    </w:p>
                    <w:p w:rsidR="008D5705" w:rsidRPr="008D5705" w:rsidRDefault="008D5705" w:rsidP="008D570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Cs w:val="24"/>
                          <w:lang w:val="pt-BR"/>
                        </w:rPr>
                      </w:pPr>
                      <w:r w:rsidRPr="008D5705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Cs w:val="24"/>
                          <w:lang w:val="pt-BR"/>
                        </w:rPr>
                        <w:t>CESSIONÁRIA</w:t>
                      </w:r>
                    </w:p>
                    <w:p w:rsidR="008D5705" w:rsidRPr="008D5705" w:rsidRDefault="008D5705" w:rsidP="008D570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5705" w:rsidRPr="008D5705" w:rsidRDefault="008D5705" w:rsidP="0002265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>__________________________________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ab/>
        <w:t xml:space="preserve">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ab/>
      </w:r>
    </w:p>
    <w:p w:rsidR="00022652" w:rsidRPr="008D5705" w:rsidRDefault="008D5705" w:rsidP="008D5705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</w:pP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 xml:space="preserve">                  </w:t>
      </w:r>
      <w:r w:rsidR="00074B93" w:rsidRPr="008D5705">
        <w:rPr>
          <w:rFonts w:ascii="Century Gothic" w:hAnsi="Century Gothic" w:cs="Arial"/>
          <w:b/>
          <w:color w:val="0D0D0D" w:themeColor="text1" w:themeTint="F2"/>
          <w:szCs w:val="24"/>
          <w:lang w:val="pt-BR"/>
        </w:rPr>
        <w:t>CEDENTE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ab/>
        <w:t xml:space="preserve">   </w:t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ab/>
      </w:r>
      <w:r w:rsidRPr="008D5705">
        <w:rPr>
          <w:rFonts w:ascii="Century Gothic" w:hAnsi="Century Gothic" w:cs="Arial"/>
          <w:color w:val="0D0D0D" w:themeColor="text1" w:themeTint="F2"/>
          <w:szCs w:val="24"/>
          <w:lang w:val="pt-BR"/>
        </w:rPr>
        <w:tab/>
        <w:t xml:space="preserve">          </w:t>
      </w:r>
    </w:p>
    <w:p w:rsidR="00022652" w:rsidRPr="008D5705" w:rsidRDefault="00022652" w:rsidP="0002265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Cs w:val="24"/>
          <w:lang w:val="pt-BR"/>
        </w:rPr>
      </w:pPr>
    </w:p>
    <w:sectPr w:rsidR="00022652" w:rsidRPr="008D5705" w:rsidSect="00151684">
      <w:headerReference w:type="default" r:id="rId11"/>
      <w:footerReference w:type="default" r:id="rId12"/>
      <w:footerReference w:type="first" r:id="rId13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B2" w:rsidRDefault="004835B2">
      <w:pPr>
        <w:spacing w:after="0" w:line="240" w:lineRule="auto"/>
      </w:pPr>
      <w:r>
        <w:separator/>
      </w:r>
    </w:p>
  </w:endnote>
  <w:endnote w:type="continuationSeparator" w:id="0">
    <w:p w:rsidR="004835B2" w:rsidRDefault="004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05" w:rsidRPr="005E471B" w:rsidRDefault="008D5705" w:rsidP="008D5705">
    <w:pPr>
      <w:spacing w:after="0" w:line="259" w:lineRule="auto"/>
      <w:ind w:right="1"/>
      <w:jc w:val="center"/>
      <w:rPr>
        <w:lang w:val="pt-BR"/>
      </w:rPr>
    </w:pPr>
    <w:r w:rsidRPr="005E471B">
      <w:rPr>
        <w:sz w:val="16"/>
        <w:lang w:val="pt-BR"/>
      </w:rPr>
      <w:t xml:space="preserve">UNIVERSIDADE FEDERAL DO SUL DA BAHIA </w:t>
    </w:r>
  </w:p>
  <w:p w:rsidR="008D5705" w:rsidRPr="005E471B" w:rsidRDefault="008D5705" w:rsidP="008D5705">
    <w:pPr>
      <w:spacing w:after="72" w:line="259" w:lineRule="auto"/>
      <w:ind w:right="4"/>
      <w:jc w:val="center"/>
      <w:rPr>
        <w:lang w:val="pt-BR"/>
      </w:rPr>
    </w:pPr>
    <w:r w:rsidRPr="005E471B">
      <w:rPr>
        <w:sz w:val="12"/>
        <w:lang w:val="pt-BR"/>
      </w:rPr>
      <w:t xml:space="preserve">Reitoria, Praça José Bastos, s/n, Centro, Itabuna – BA, CEP 45.600-923, Fone: (73) 2103-8420 / 8400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B2" w:rsidRDefault="004835B2">
      <w:pPr>
        <w:spacing w:after="0" w:line="240" w:lineRule="auto"/>
      </w:pPr>
      <w:r>
        <w:separator/>
      </w:r>
    </w:p>
  </w:footnote>
  <w:footnote w:type="continuationSeparator" w:id="0">
    <w:p w:rsidR="004835B2" w:rsidRDefault="004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B2" w:rsidRPr="008D5705" w:rsidRDefault="00CF31C0" w:rsidP="00CF31C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hAnsi="Century Gothic"/>
        <w:b/>
        <w:color w:val="7F7F7F"/>
      </w:rPr>
    </w:pPr>
    <w:r w:rsidRPr="008D5705">
      <w:rPr>
        <w:rFonts w:ascii="Century Gothic" w:hAnsi="Century Gothic"/>
        <w:b/>
        <w:noProof/>
        <w:color w:val="002878"/>
        <w:lang w:val="pt-BR" w:eastAsia="pt-BR"/>
      </w:rPr>
      <w:drawing>
        <wp:anchor distT="0" distB="0" distL="114300" distR="114300" simplePos="0" relativeHeight="251657216" behindDoc="1" locked="0" layoutInCell="1" allowOverlap="1" wp14:anchorId="4302E824" wp14:editId="61908C29">
          <wp:simplePos x="0" y="0"/>
          <wp:positionH relativeFrom="margin">
            <wp:posOffset>581025</wp:posOffset>
          </wp:positionH>
          <wp:positionV relativeFrom="paragraph">
            <wp:posOffset>-245110</wp:posOffset>
          </wp:positionV>
          <wp:extent cx="2107565" cy="1352550"/>
          <wp:effectExtent l="0" t="0" r="6985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5B2" w:rsidRPr="008D5705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="00BB1FB2" w:rsidRPr="008D5705">
      <w:rPr>
        <w:rFonts w:ascii="Century Gothic" w:hAnsi="Century Gothic"/>
        <w:b/>
        <w:color w:val="002878"/>
        <w:sz w:val="21"/>
        <w:szCs w:val="21"/>
        <w:lang w:val="pt-BR"/>
      </w:rPr>
      <w:t>MINISTÉRIO DA EDUCAÇÃO</w:t>
    </w:r>
  </w:p>
  <w:p w:rsidR="00BB1FB2" w:rsidRPr="008D5705" w:rsidRDefault="00BB1FB2" w:rsidP="00BB1FB2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8D5705">
      <w:rPr>
        <w:rFonts w:ascii="Century Gothic" w:hAnsi="Century Gothic"/>
        <w:b/>
        <w:color w:val="002878"/>
        <w:sz w:val="21"/>
        <w:szCs w:val="21"/>
        <w:lang w:val="pt-BR"/>
      </w:rPr>
      <w:t>UNIVERSIDADE FEDERAL DO SUL DA BAHIA</w:t>
    </w:r>
  </w:p>
  <w:p w:rsidR="00BB1FB2" w:rsidRPr="008D5705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8D5705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:rsidR="00BB1FB2" w:rsidRPr="008D5705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8D5705"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:rsidR="00BB1FB2" w:rsidRPr="008D5705" w:rsidRDefault="00BB1FB2" w:rsidP="00BB1FB2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8D5705">
      <w:rPr>
        <w:rFonts w:ascii="Century Gothic" w:hAnsi="Century Gothic"/>
        <w:color w:val="002878"/>
        <w:sz w:val="21"/>
        <w:szCs w:val="21"/>
        <w:lang w:val="pt-BR"/>
      </w:rPr>
      <w:t>Coordenação de Qualidade de Vida</w:t>
    </w:r>
  </w:p>
  <w:p w:rsidR="002D381A" w:rsidRPr="00760205" w:rsidRDefault="008D5705">
    <w:pPr>
      <w:pStyle w:val="Cabealho"/>
      <w:rPr>
        <w:lang w:val="pt-BR"/>
      </w:rPr>
    </w:pPr>
    <w:r>
      <w:rPr>
        <w:noProof/>
        <w:color w:val="002060"/>
        <w:lang w:val="pt-BR" w:eastAsia="pt-BR"/>
      </w:rPr>
      <w:drawing>
        <wp:anchor distT="0" distB="0" distL="114300" distR="114300" simplePos="0" relativeHeight="251660288" behindDoc="0" locked="0" layoutInCell="1" allowOverlap="1" wp14:anchorId="4896F13E" wp14:editId="61B1B076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6328410" cy="18415"/>
          <wp:effectExtent l="0" t="0" r="0" b="635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8410" cy="184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4DE6"/>
    <w:rsid w:val="00022652"/>
    <w:rsid w:val="0002587E"/>
    <w:rsid w:val="0006566E"/>
    <w:rsid w:val="00074B93"/>
    <w:rsid w:val="000A05F6"/>
    <w:rsid w:val="000A488A"/>
    <w:rsid w:val="000A6B19"/>
    <w:rsid w:val="000D0599"/>
    <w:rsid w:val="000E682D"/>
    <w:rsid w:val="000E6B44"/>
    <w:rsid w:val="000E7689"/>
    <w:rsid w:val="00101C9D"/>
    <w:rsid w:val="00115A11"/>
    <w:rsid w:val="00116000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D552E"/>
    <w:rsid w:val="001F023D"/>
    <w:rsid w:val="001F4BE0"/>
    <w:rsid w:val="002229ED"/>
    <w:rsid w:val="00232240"/>
    <w:rsid w:val="00237AF8"/>
    <w:rsid w:val="00255172"/>
    <w:rsid w:val="00265F63"/>
    <w:rsid w:val="00286A38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3520"/>
    <w:rsid w:val="003F654F"/>
    <w:rsid w:val="003F737D"/>
    <w:rsid w:val="00401291"/>
    <w:rsid w:val="00401E15"/>
    <w:rsid w:val="00457327"/>
    <w:rsid w:val="00480808"/>
    <w:rsid w:val="004835B2"/>
    <w:rsid w:val="00490087"/>
    <w:rsid w:val="00494722"/>
    <w:rsid w:val="00494B65"/>
    <w:rsid w:val="004955F4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265E9"/>
    <w:rsid w:val="00530909"/>
    <w:rsid w:val="0056114D"/>
    <w:rsid w:val="00563531"/>
    <w:rsid w:val="00564B54"/>
    <w:rsid w:val="00565E2F"/>
    <w:rsid w:val="005A07B2"/>
    <w:rsid w:val="005D544E"/>
    <w:rsid w:val="005E5E2B"/>
    <w:rsid w:val="005F41CC"/>
    <w:rsid w:val="006014F0"/>
    <w:rsid w:val="00605048"/>
    <w:rsid w:val="006515E8"/>
    <w:rsid w:val="00662EF8"/>
    <w:rsid w:val="006632C7"/>
    <w:rsid w:val="006833D8"/>
    <w:rsid w:val="006A6F08"/>
    <w:rsid w:val="006E5670"/>
    <w:rsid w:val="006F1118"/>
    <w:rsid w:val="00715BE0"/>
    <w:rsid w:val="00741FDE"/>
    <w:rsid w:val="00760205"/>
    <w:rsid w:val="007713A9"/>
    <w:rsid w:val="00784313"/>
    <w:rsid w:val="00795170"/>
    <w:rsid w:val="007A0103"/>
    <w:rsid w:val="007B4D65"/>
    <w:rsid w:val="007C5C41"/>
    <w:rsid w:val="007D7D1F"/>
    <w:rsid w:val="007E0ADA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D5705"/>
    <w:rsid w:val="008F00F8"/>
    <w:rsid w:val="008F5367"/>
    <w:rsid w:val="00925F5D"/>
    <w:rsid w:val="009432F1"/>
    <w:rsid w:val="00946252"/>
    <w:rsid w:val="0098300D"/>
    <w:rsid w:val="009A1FD8"/>
    <w:rsid w:val="009B2820"/>
    <w:rsid w:val="009B6A76"/>
    <w:rsid w:val="009C5FD6"/>
    <w:rsid w:val="009D3F13"/>
    <w:rsid w:val="009E37DE"/>
    <w:rsid w:val="009F0B81"/>
    <w:rsid w:val="009F3D63"/>
    <w:rsid w:val="00A04504"/>
    <w:rsid w:val="00A11744"/>
    <w:rsid w:val="00A36F67"/>
    <w:rsid w:val="00A64CA4"/>
    <w:rsid w:val="00A64CBF"/>
    <w:rsid w:val="00A765D0"/>
    <w:rsid w:val="00A91EBE"/>
    <w:rsid w:val="00AB1341"/>
    <w:rsid w:val="00AC7F92"/>
    <w:rsid w:val="00AE0880"/>
    <w:rsid w:val="00AE267E"/>
    <w:rsid w:val="00AF4B53"/>
    <w:rsid w:val="00AF77BA"/>
    <w:rsid w:val="00B128DA"/>
    <w:rsid w:val="00B15642"/>
    <w:rsid w:val="00B2178F"/>
    <w:rsid w:val="00B30F62"/>
    <w:rsid w:val="00B338C3"/>
    <w:rsid w:val="00B419AD"/>
    <w:rsid w:val="00B5468E"/>
    <w:rsid w:val="00B56315"/>
    <w:rsid w:val="00B570A9"/>
    <w:rsid w:val="00B8163C"/>
    <w:rsid w:val="00B9569D"/>
    <w:rsid w:val="00BA04CC"/>
    <w:rsid w:val="00BB0933"/>
    <w:rsid w:val="00BB1FB2"/>
    <w:rsid w:val="00BF473C"/>
    <w:rsid w:val="00C30500"/>
    <w:rsid w:val="00C5755F"/>
    <w:rsid w:val="00C62B67"/>
    <w:rsid w:val="00C65740"/>
    <w:rsid w:val="00C83872"/>
    <w:rsid w:val="00C84E64"/>
    <w:rsid w:val="00C9109A"/>
    <w:rsid w:val="00C9301B"/>
    <w:rsid w:val="00CB2712"/>
    <w:rsid w:val="00CC4C13"/>
    <w:rsid w:val="00CD5E29"/>
    <w:rsid w:val="00CE069E"/>
    <w:rsid w:val="00CE4011"/>
    <w:rsid w:val="00CF31C0"/>
    <w:rsid w:val="00CF5058"/>
    <w:rsid w:val="00CF6011"/>
    <w:rsid w:val="00D132ED"/>
    <w:rsid w:val="00D15565"/>
    <w:rsid w:val="00D169A4"/>
    <w:rsid w:val="00D25C8E"/>
    <w:rsid w:val="00D26765"/>
    <w:rsid w:val="00D30986"/>
    <w:rsid w:val="00D35E92"/>
    <w:rsid w:val="00D378AF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0A5"/>
    <w:rsid w:val="00E232E1"/>
    <w:rsid w:val="00E42A18"/>
    <w:rsid w:val="00E5313B"/>
    <w:rsid w:val="00E54D41"/>
    <w:rsid w:val="00E7444E"/>
    <w:rsid w:val="00E76C78"/>
    <w:rsid w:val="00E95DDA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C724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A0AF2-7C33-4B6F-9F14-53C9C1D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lastModifiedBy>user</cp:lastModifiedBy>
  <cp:revision>2</cp:revision>
  <cp:lastPrinted>2018-01-09T18:34:00Z</cp:lastPrinted>
  <dcterms:created xsi:type="dcterms:W3CDTF">2023-09-13T01:30:00Z</dcterms:created>
  <dcterms:modified xsi:type="dcterms:W3CDTF">2023-09-13T01:30:00Z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