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53"/>
        </w:tabs>
        <w:jc w:val="center"/>
      </w:pPr>
      <w:r>
        <w:rPr>
          <w:lang w:val="pt-BR" w:eastAsia="pt-BR"/>
        </w:rPr>
        <mc:AlternateContent>
          <mc:Choice Requires="wps">
            <w:drawing>
              <wp:anchor distT="0" distB="0" distL="114300" distR="114300" simplePos="0" relativeHeight="251659264" behindDoc="0" locked="0" layoutInCell="1" allowOverlap="1">
                <wp:simplePos x="0" y="0"/>
                <wp:positionH relativeFrom="column">
                  <wp:posOffset>4596130</wp:posOffset>
                </wp:positionH>
                <wp:positionV relativeFrom="paragraph">
                  <wp:posOffset>-643890</wp:posOffset>
                </wp:positionV>
                <wp:extent cx="1762760" cy="200025"/>
                <wp:effectExtent l="0" t="2540" r="0" b="0"/>
                <wp:wrapNone/>
                <wp:docPr id="2" name="Text Box 5"/>
                <wp:cNvGraphicFramePr/>
                <a:graphic xmlns:a="http://schemas.openxmlformats.org/drawingml/2006/main">
                  <a:graphicData uri="http://schemas.microsoft.com/office/word/2010/wordprocessingShape">
                    <wps:wsp>
                      <wps:cNvSpPr txBox="1">
                        <a:spLocks noChangeArrowheads="1"/>
                      </wps:cNvSpPr>
                      <wps:spPr bwMode="auto">
                        <a:xfrm>
                          <a:off x="0" y="0"/>
                          <a:ext cx="1762760" cy="200025"/>
                        </a:xfrm>
                        <a:prstGeom prst="rect">
                          <a:avLst/>
                        </a:prstGeom>
                        <a:solidFill>
                          <a:srgbClr val="FFFFFF"/>
                        </a:solidFill>
                        <a:ln>
                          <a:noFill/>
                        </a:ln>
                      </wps:spPr>
                      <wps:txbx>
                        <w:txbxContent>
                          <w:p>
                            <w:pPr>
                              <w:jc w:val="right"/>
                              <w:rPr>
                                <w:rFonts w:ascii="Calibri" w:hAnsi="Calibri"/>
                                <w:color w:val="808080"/>
                                <w:sz w:val="14"/>
                                <w:szCs w:val="14"/>
                              </w:rPr>
                            </w:pPr>
                            <w:r>
                              <w:rPr>
                                <w:rFonts w:ascii="Calibri" w:hAnsi="Calibri"/>
                                <w:color w:val="808080"/>
                                <w:sz w:val="14"/>
                                <w:szCs w:val="14"/>
                              </w:rPr>
                              <w:t>Processo No. 23075.......................</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5" o:spid="_x0000_s1026" o:spt="202" type="#_x0000_t202" style="position:absolute;left:0pt;margin-left:361.9pt;margin-top:-50.7pt;height:15.75pt;width:138.8pt;z-index:251659264;mso-width-relative:page;mso-height-relative:margin;mso-height-percent:200;" fillcolor="#FFFFFF" filled="t" stroked="f" coordsize="21600,21600" o:gfxdata="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PVgLqnaAAAADQEA&#10;AA8AAAAAAAAAAQAgAAAAIgAAAGRycy9kb3ducmV2LnhtbFBLAQIUABQAAAAIAIdO4kDfPHuNGAIA&#10;AD0EAAAOAAAAAAAAAAEAIAAAACkBAABkcnMvZTJvRG9jLnhtbFBLBQYAAAAABgAGAFkBAACzBQAA&#10;AAA=&#10;">
                <v:fill on="t" focussize="0,0"/>
                <v:stroke on="f"/>
                <v:imagedata o:title=""/>
                <o:lock v:ext="edit" aspectratio="f"/>
                <v:textbox style="mso-fit-shape-to-text:t;">
                  <w:txbxContent>
                    <w:p>
                      <w:pPr>
                        <w:jc w:val="right"/>
                        <w:rPr>
                          <w:rFonts w:ascii="Calibri" w:hAnsi="Calibri"/>
                          <w:color w:val="808080"/>
                          <w:sz w:val="14"/>
                          <w:szCs w:val="14"/>
                        </w:rPr>
                      </w:pPr>
                      <w:r>
                        <w:rPr>
                          <w:rFonts w:ascii="Calibri" w:hAnsi="Calibri"/>
                          <w:color w:val="808080"/>
                          <w:sz w:val="14"/>
                          <w:szCs w:val="14"/>
                        </w:rPr>
                        <w:t>Processo No. 23075.......................</w:t>
                      </w:r>
                    </w:p>
                  </w:txbxContent>
                </v:textbox>
              </v:shape>
            </w:pict>
          </mc:Fallback>
        </mc:AlternateContent>
      </w:r>
      <w:r>
        <w:rPr>
          <w:lang w:val="pt-BR" w:eastAsia="pt-BR"/>
        </w:rPr>
        <w:drawing>
          <wp:inline distT="0" distB="0" distL="0" distR="0">
            <wp:extent cx="1476375" cy="1990725"/>
            <wp:effectExtent l="0" t="0" r="9525" b="9525"/>
            <wp:docPr id="1" name="Imagem 1" descr="Assinatura-Branca-UFSB-Oficial-Vertical-RGB"/>
            <wp:cNvGraphicFramePr/>
            <a:graphic xmlns:a="http://schemas.openxmlformats.org/drawingml/2006/main">
              <a:graphicData uri="http://schemas.openxmlformats.org/drawingml/2006/picture">
                <pic:pic xmlns:pic="http://schemas.openxmlformats.org/drawingml/2006/picture">
                  <pic:nvPicPr>
                    <pic:cNvPr id="1" name="Imagem 1" descr="Assinatura-Branca-UFSB-Oficial-Vertical-RGB"/>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76375" cy="1990725"/>
                    </a:xfrm>
                    <a:prstGeom prst="rect">
                      <a:avLst/>
                    </a:prstGeom>
                    <a:noFill/>
                    <a:ln>
                      <a:noFill/>
                    </a:ln>
                  </pic:spPr>
                </pic:pic>
              </a:graphicData>
            </a:graphic>
          </wp:inline>
        </w:drawing>
      </w:r>
    </w:p>
    <w:tbl>
      <w:tblPr>
        <w:tblStyle w:val="10"/>
        <w:tblW w:w="10065" w:type="dxa"/>
        <w:tblInd w:w="-743"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4679"/>
        <w:gridCol w:w="709"/>
        <w:gridCol w:w="4677"/>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c>
          <w:tcPr>
            <w:tcW w:w="4679" w:type="dxa"/>
          </w:tcPr>
          <w:p>
            <w:pPr>
              <w:spacing w:line="276" w:lineRule="auto"/>
              <w:jc w:val="both"/>
              <w:rPr>
                <w:rFonts w:asciiTheme="minorHAnsi" w:hAnsiTheme="minorHAnsi"/>
                <w:b/>
                <w:lang w:val="es-ES"/>
              </w:rPr>
            </w:pPr>
          </w:p>
          <w:p>
            <w:pPr>
              <w:spacing w:line="276" w:lineRule="auto"/>
              <w:jc w:val="both"/>
              <w:rPr>
                <w:rFonts w:asciiTheme="minorHAnsi" w:hAnsiTheme="minorHAnsi"/>
                <w:b/>
                <w:lang w:val="es-ES"/>
              </w:rPr>
            </w:pPr>
          </w:p>
          <w:p>
            <w:pPr>
              <w:spacing w:line="276" w:lineRule="auto"/>
              <w:jc w:val="both"/>
              <w:rPr>
                <w:rFonts w:asciiTheme="minorHAnsi" w:hAnsiTheme="minorHAnsi"/>
                <w:b/>
                <w:lang w:val="es-ES"/>
              </w:rPr>
            </w:pPr>
            <w:r>
              <w:rPr>
                <w:rFonts w:asciiTheme="minorHAnsi" w:hAnsiTheme="minorHAnsi"/>
                <w:b/>
                <w:lang w:val="es-ES"/>
              </w:rPr>
              <w:t>CONNVENIO DE COOPERACIÓN INTERNACIONAL ENTRE LA UNIVERSIDADE FEDERAL DO SUL DA BAHIA (UFSB), BRASIL, Y LA ...................................................</w:t>
            </w:r>
          </w:p>
          <w:p>
            <w:pPr>
              <w:spacing w:line="276" w:lineRule="auto"/>
              <w:jc w:val="both"/>
              <w:rPr>
                <w:rFonts w:asciiTheme="minorHAnsi" w:hAnsiTheme="minorHAnsi"/>
                <w:b/>
                <w:lang w:val="es-ES"/>
              </w:rPr>
            </w:pPr>
          </w:p>
          <w:p>
            <w:pPr>
              <w:spacing w:line="276" w:lineRule="auto"/>
              <w:jc w:val="both"/>
              <w:rPr>
                <w:rFonts w:asciiTheme="minorHAnsi" w:hAnsiTheme="minorHAnsi"/>
                <w:b/>
                <w:lang w:val="es-ES"/>
              </w:rPr>
            </w:pPr>
          </w:p>
          <w:p>
            <w:pPr>
              <w:spacing w:line="276" w:lineRule="auto"/>
              <w:jc w:val="both"/>
              <w:rPr>
                <w:rFonts w:cs="Arial" w:asciiTheme="minorHAnsi" w:hAnsiTheme="minorHAnsi"/>
                <w:lang w:val="es-ES"/>
              </w:rPr>
            </w:pPr>
            <w:r>
              <w:rPr>
                <w:rFonts w:cs="Arial" w:asciiTheme="minorHAnsi" w:hAnsiTheme="minorHAnsi"/>
                <w:lang w:val="es-ES"/>
              </w:rPr>
              <w:t>La</w:t>
            </w:r>
            <w:r>
              <w:rPr>
                <w:rFonts w:cs="Arial" w:asciiTheme="minorHAnsi" w:hAnsiTheme="minorHAnsi"/>
                <w:b/>
                <w:lang w:val="es-ES"/>
              </w:rPr>
              <w:t xml:space="preserve"> UNIVERSIDADE FEDERAL DO SUL DA BAHIA</w:t>
            </w:r>
            <w:r>
              <w:rPr>
                <w:rFonts w:cs="Arial" w:asciiTheme="minorHAnsi" w:hAnsiTheme="minorHAnsi"/>
                <w:lang w:val="es-ES"/>
              </w:rPr>
              <w:t xml:space="preserve">, entidad legal pública, de conformidad con la Ley nº 1254/50, de diciembre 4, organizada en forma de autarquía, con domicilio en La </w:t>
            </w:r>
            <w:r>
              <w:rPr>
                <w:rFonts w:ascii="Calibri" w:hAnsi="Calibri"/>
              </w:rPr>
              <w:t xml:space="preserve"> Praça José Bastos, s/n, Centro, Itabuna – BA, CEP 45.600-923</w:t>
            </w:r>
            <w:bookmarkStart w:id="0" w:name="_GoBack"/>
            <w:bookmarkEnd w:id="0"/>
            <w:r>
              <w:rPr>
                <w:rFonts w:cs="Arial" w:asciiTheme="minorHAnsi" w:hAnsiTheme="minorHAnsi"/>
                <w:lang w:val="es-ES"/>
              </w:rPr>
              <w:t xml:space="preserve"> , Brasil, en adelante </w:t>
            </w:r>
            <w:r>
              <w:rPr>
                <w:rFonts w:cs="Arial" w:asciiTheme="minorHAnsi" w:hAnsiTheme="minorHAnsi"/>
                <w:b/>
                <w:lang w:val="es-ES"/>
              </w:rPr>
              <w:t>UFSB</w:t>
            </w:r>
            <w:r>
              <w:rPr>
                <w:rFonts w:cs="Arial" w:asciiTheme="minorHAnsi" w:hAnsiTheme="minorHAnsi"/>
                <w:lang w:val="es-ES"/>
              </w:rPr>
              <w:t xml:space="preserve">, representada por su Rectora, </w:t>
            </w:r>
            <w:r>
              <w:rPr>
                <w:rFonts w:cs="Arial" w:asciiTheme="minorHAnsi" w:hAnsiTheme="minorHAnsi"/>
                <w:b/>
                <w:lang w:val="es-ES"/>
              </w:rPr>
              <w:t>Profesora Dra. Joana Angélica Guimarães da Luz</w:t>
            </w:r>
            <w:r>
              <w:rPr>
                <w:rFonts w:cs="Arial" w:asciiTheme="minorHAnsi" w:hAnsiTheme="minorHAnsi"/>
                <w:lang w:val="es-ES"/>
              </w:rPr>
              <w:t>, en ejercicio de sus facultades que le confiere el artículo 30, fracción XII de lo Estatuto de la UFSB, y la ........................................, con domicilio en la ........................................................., en lo sucesivo ..................., representada por su Rector/a, ........................................................., acuerdan firmar el presente Convenio de Cooperación de conformidad con las siguientes cláusulas:</w:t>
            </w:r>
          </w:p>
          <w:p>
            <w:pPr>
              <w:spacing w:line="276" w:lineRule="auto"/>
              <w:jc w:val="both"/>
              <w:rPr>
                <w:rFonts w:cs="Arial" w:asciiTheme="minorHAnsi" w:hAnsiTheme="minorHAnsi"/>
                <w:lang w:val="es-ES"/>
              </w:rPr>
            </w:pPr>
          </w:p>
          <w:p>
            <w:pPr>
              <w:spacing w:line="276" w:lineRule="auto"/>
              <w:jc w:val="both"/>
              <w:rPr>
                <w:rFonts w:cs="Arial" w:asciiTheme="minorHAnsi" w:hAnsiTheme="minorHAnsi"/>
                <w:lang w:val="es-ES"/>
              </w:rPr>
            </w:pPr>
          </w:p>
          <w:p>
            <w:pPr>
              <w:spacing w:line="276" w:lineRule="auto"/>
              <w:jc w:val="both"/>
              <w:rPr>
                <w:rFonts w:cs="Arial" w:asciiTheme="minorHAnsi" w:hAnsiTheme="minorHAnsi"/>
                <w:lang w:val="es-ES"/>
              </w:rPr>
            </w:pPr>
          </w:p>
          <w:p>
            <w:pPr>
              <w:pStyle w:val="2"/>
              <w:numPr>
                <w:ilvl w:val="1"/>
                <w:numId w:val="1"/>
              </w:numPr>
              <w:spacing w:line="276" w:lineRule="auto"/>
              <w:outlineLvl w:val="1"/>
              <w:rPr>
                <w:rFonts w:cs="Arial" w:asciiTheme="minorHAnsi" w:hAnsiTheme="minorHAnsi"/>
                <w:b/>
                <w:sz w:val="20"/>
                <w:lang w:val="es-ES"/>
              </w:rPr>
            </w:pPr>
            <w:r>
              <w:rPr>
                <w:rFonts w:cs="Arial" w:asciiTheme="minorHAnsi" w:hAnsiTheme="minorHAnsi"/>
                <w:b/>
                <w:sz w:val="20"/>
                <w:lang w:val="es-ES"/>
              </w:rPr>
              <w:t>CLAUSULA 1 - OBJETO</w:t>
            </w:r>
          </w:p>
          <w:p>
            <w:pPr>
              <w:spacing w:line="276" w:lineRule="auto"/>
              <w:jc w:val="both"/>
              <w:rPr>
                <w:rFonts w:cs="Arial" w:asciiTheme="minorHAnsi" w:hAnsiTheme="minorHAnsi"/>
                <w:lang w:val="es-ES"/>
              </w:rPr>
            </w:pPr>
            <w:r>
              <w:rPr>
                <w:rFonts w:cs="Arial" w:asciiTheme="minorHAnsi" w:hAnsiTheme="minorHAnsi"/>
                <w:lang w:val="es-ES"/>
              </w:rPr>
              <w:t>El objeto del presente Convenio es establecer una amplia y mutual cooperación entre la UFSB y la .............  Las Universidades en la presente declaran su intención de promover intercambios que sean de mutuo beneficio para sus instituciones. Se consideran aquí intercambios educativos, administrativos y académicos que incluyen pero no están limitados a:</w:t>
            </w:r>
          </w:p>
          <w:p>
            <w:pPr>
              <w:spacing w:line="276" w:lineRule="auto"/>
              <w:ind w:firstLine="567"/>
              <w:jc w:val="both"/>
              <w:rPr>
                <w:rFonts w:cs="Arial" w:asciiTheme="minorHAnsi" w:hAnsiTheme="minorHAnsi"/>
                <w:lang w:val="es-ES"/>
              </w:rPr>
            </w:pPr>
          </w:p>
          <w:p>
            <w:pPr>
              <w:numPr>
                <w:ilvl w:val="0"/>
                <w:numId w:val="2"/>
              </w:numPr>
              <w:suppressAutoHyphens/>
              <w:spacing w:line="276" w:lineRule="auto"/>
              <w:ind w:left="204" w:hanging="312"/>
              <w:jc w:val="both"/>
              <w:rPr>
                <w:rFonts w:cs="Arial" w:asciiTheme="minorHAnsi" w:hAnsiTheme="minorHAnsi"/>
                <w:lang w:val="es-ES"/>
              </w:rPr>
            </w:pPr>
            <w:r>
              <w:rPr>
                <w:rFonts w:cs="Arial" w:asciiTheme="minorHAnsi" w:hAnsiTheme="minorHAnsi"/>
                <w:lang w:val="es-ES"/>
              </w:rPr>
              <w:t xml:space="preserve">Intercambio de personal académico y estudiantil para propósitos de enseñanza e investigación en programas regulares y de extensión en diferentes áreas académicas así como programas de administración universitarios; </w:t>
            </w:r>
          </w:p>
          <w:p>
            <w:pPr>
              <w:numPr>
                <w:ilvl w:val="0"/>
                <w:numId w:val="2"/>
              </w:numPr>
              <w:suppressAutoHyphens/>
              <w:spacing w:line="276" w:lineRule="auto"/>
              <w:ind w:left="204" w:hanging="312"/>
              <w:jc w:val="both"/>
              <w:rPr>
                <w:rFonts w:cs="Arial" w:asciiTheme="minorHAnsi" w:hAnsiTheme="minorHAnsi"/>
                <w:lang w:val="es-ES"/>
              </w:rPr>
            </w:pPr>
            <w:r>
              <w:rPr>
                <w:rFonts w:cs="Arial" w:asciiTheme="minorHAnsi" w:hAnsiTheme="minorHAnsi"/>
                <w:lang w:val="es-ES"/>
              </w:rPr>
              <w:t>Participación y coordinación en actividades tales como proyectos conjuntos de investigación, charlas, conferencias y seminarios en programas de corto y largo plazo;</w:t>
            </w:r>
          </w:p>
          <w:p>
            <w:pPr>
              <w:pStyle w:val="11"/>
              <w:numPr>
                <w:ilvl w:val="0"/>
                <w:numId w:val="2"/>
              </w:numPr>
              <w:tabs>
                <w:tab w:val="left" w:pos="317"/>
              </w:tabs>
              <w:spacing w:line="276" w:lineRule="auto"/>
              <w:ind w:left="204" w:hanging="312"/>
              <w:jc w:val="both"/>
              <w:rPr>
                <w:rFonts w:cs="Arial" w:asciiTheme="minorHAnsi" w:hAnsiTheme="minorHAnsi"/>
                <w:color w:val="000000"/>
                <w:lang w:val="es-ES"/>
              </w:rPr>
            </w:pPr>
            <w:r>
              <w:rPr>
                <w:rFonts w:cs="Arial" w:asciiTheme="minorHAnsi" w:hAnsiTheme="minorHAnsi"/>
                <w:color w:val="000000"/>
                <w:lang w:val="es-ES"/>
              </w:rPr>
              <w:t>Cursos de distintos niveles y habilidades para docentes y estudiantes;</w:t>
            </w:r>
          </w:p>
          <w:p>
            <w:pPr>
              <w:pStyle w:val="11"/>
              <w:numPr>
                <w:ilvl w:val="0"/>
                <w:numId w:val="2"/>
              </w:numPr>
              <w:tabs>
                <w:tab w:val="left" w:pos="317"/>
              </w:tabs>
              <w:spacing w:line="276" w:lineRule="auto"/>
              <w:ind w:left="204" w:hanging="312"/>
              <w:jc w:val="both"/>
              <w:rPr>
                <w:rFonts w:cs="Arial" w:asciiTheme="minorHAnsi" w:hAnsiTheme="minorHAnsi"/>
                <w:lang w:val="es-ES"/>
              </w:rPr>
            </w:pPr>
            <w:r>
              <w:rPr>
                <w:rFonts w:cs="Arial" w:asciiTheme="minorHAnsi" w:hAnsiTheme="minorHAnsi"/>
                <w:lang w:val="es-ES"/>
              </w:rPr>
              <w:t>Intercambio mutuo de información derivados de resultados de investigación, material académico y publicaciones.</w:t>
            </w:r>
          </w:p>
          <w:p>
            <w:pPr>
              <w:spacing w:line="276" w:lineRule="auto"/>
              <w:jc w:val="both"/>
              <w:rPr>
                <w:rFonts w:asciiTheme="minorHAnsi" w:hAnsiTheme="minorHAnsi"/>
                <w:lang w:val="es-ES"/>
              </w:rPr>
            </w:pPr>
          </w:p>
          <w:p>
            <w:pPr>
              <w:spacing w:line="276" w:lineRule="auto"/>
              <w:jc w:val="both"/>
              <w:rPr>
                <w:rFonts w:asciiTheme="minorHAnsi" w:hAnsiTheme="minorHAnsi"/>
                <w:lang w:val="es-ES"/>
              </w:rPr>
            </w:pPr>
          </w:p>
          <w:p>
            <w:pPr>
              <w:spacing w:line="276" w:lineRule="auto"/>
              <w:jc w:val="both"/>
              <w:rPr>
                <w:rFonts w:asciiTheme="minorHAnsi" w:hAnsiTheme="minorHAnsi"/>
                <w:b/>
                <w:lang w:val="es-ES"/>
              </w:rPr>
            </w:pPr>
            <w:r>
              <w:rPr>
                <w:rFonts w:asciiTheme="minorHAnsi" w:hAnsiTheme="minorHAnsi"/>
                <w:b/>
                <w:lang w:val="es-ES"/>
              </w:rPr>
              <w:t>CLAUSULA 2 -</w:t>
            </w:r>
            <w:r>
              <w:rPr>
                <w:rFonts w:asciiTheme="minorHAnsi" w:hAnsiTheme="minorHAnsi"/>
                <w:lang w:val="es-ES"/>
              </w:rPr>
              <w:t xml:space="preserve"> </w:t>
            </w:r>
            <w:r>
              <w:rPr>
                <w:rFonts w:asciiTheme="minorHAnsi" w:hAnsiTheme="minorHAnsi"/>
                <w:b/>
                <w:lang w:val="es-ES"/>
              </w:rPr>
              <w:t>INTERCAMBIO DE ESTUDIANTES</w:t>
            </w:r>
          </w:p>
          <w:p>
            <w:pPr>
              <w:pStyle w:val="11"/>
              <w:numPr>
                <w:ilvl w:val="0"/>
                <w:numId w:val="3"/>
              </w:numPr>
              <w:spacing w:line="276" w:lineRule="auto"/>
              <w:ind w:left="317" w:hanging="283"/>
              <w:jc w:val="both"/>
              <w:rPr>
                <w:rFonts w:asciiTheme="minorHAnsi" w:hAnsiTheme="minorHAnsi"/>
                <w:lang w:val="es-ES"/>
              </w:rPr>
            </w:pPr>
            <w:r>
              <w:rPr>
                <w:rFonts w:asciiTheme="minorHAnsi" w:hAnsiTheme="minorHAnsi"/>
                <w:lang w:val="es-ES"/>
              </w:rPr>
              <w:t>Las partes que han firmado este convenio se comprometen a organizar el intercambio de estudiantes especificados en la Primera Cláusula para uno o dos semestres académicos. Se admitirán periodos de intercambio de mayor duración siempre que así se establezca en un Convenio Específico Adicional a este convenio. Ambas partes deben intercambiar el mismo número de estudiantes.</w:t>
            </w:r>
          </w:p>
          <w:p>
            <w:pPr>
              <w:pStyle w:val="11"/>
              <w:numPr>
                <w:ilvl w:val="0"/>
                <w:numId w:val="3"/>
              </w:numPr>
              <w:spacing w:line="276" w:lineRule="auto"/>
              <w:ind w:left="317" w:hanging="283"/>
              <w:jc w:val="both"/>
              <w:rPr>
                <w:rFonts w:asciiTheme="minorHAnsi" w:hAnsiTheme="minorHAnsi"/>
                <w:lang w:val="es-ES"/>
              </w:rPr>
            </w:pPr>
            <w:r>
              <w:rPr>
                <w:rFonts w:asciiTheme="minorHAnsi" w:hAnsiTheme="minorHAnsi"/>
                <w:lang w:val="es-ES"/>
              </w:rPr>
              <w:t>La parte que envía estudiantes debe presentar los nombres de los candidatos aptos para intercambio. Los candidatos deben cumplir los requisitos de matrícula de la institución anfitriona.</w:t>
            </w:r>
          </w:p>
          <w:p>
            <w:pPr>
              <w:pStyle w:val="11"/>
              <w:spacing w:line="276" w:lineRule="auto"/>
              <w:ind w:left="317"/>
              <w:jc w:val="both"/>
              <w:rPr>
                <w:rFonts w:asciiTheme="minorHAnsi" w:hAnsiTheme="minorHAnsi"/>
                <w:lang w:val="es-ES"/>
              </w:rPr>
            </w:pPr>
          </w:p>
          <w:p>
            <w:pPr>
              <w:pStyle w:val="11"/>
              <w:numPr>
                <w:ilvl w:val="0"/>
                <w:numId w:val="3"/>
              </w:numPr>
              <w:spacing w:line="276" w:lineRule="auto"/>
              <w:ind w:left="317" w:hanging="283"/>
              <w:jc w:val="both"/>
              <w:rPr>
                <w:rFonts w:asciiTheme="minorHAnsi" w:hAnsiTheme="minorHAnsi"/>
                <w:lang w:val="es-ES"/>
              </w:rPr>
            </w:pPr>
            <w:r>
              <w:rPr>
                <w:rFonts w:asciiTheme="minorHAnsi" w:hAnsiTheme="minorHAnsi"/>
                <w:lang w:val="es-ES"/>
              </w:rPr>
              <w:t xml:space="preserve">Los estudiantes de intercambio están matriculados como estudiantes con todos los derechos pertinentes y las obligaciones que aplican a los estudiantes visitantes. Su dominio de la lengua del país anfitrión debe ser suficiente para que cumplan las metas del intercambio y para que obtengan beneficio del mismo. </w:t>
            </w:r>
          </w:p>
          <w:p>
            <w:pPr>
              <w:pStyle w:val="11"/>
              <w:rPr>
                <w:rFonts w:asciiTheme="minorHAnsi" w:hAnsiTheme="minorHAnsi"/>
                <w:lang w:val="es-ES"/>
              </w:rPr>
            </w:pPr>
          </w:p>
          <w:p>
            <w:pPr>
              <w:pStyle w:val="11"/>
              <w:numPr>
                <w:ilvl w:val="0"/>
                <w:numId w:val="3"/>
              </w:numPr>
              <w:spacing w:line="276" w:lineRule="auto"/>
              <w:ind w:left="317" w:hanging="283"/>
              <w:jc w:val="both"/>
              <w:rPr>
                <w:rFonts w:asciiTheme="minorHAnsi" w:hAnsiTheme="minorHAnsi"/>
                <w:lang w:val="es-ES"/>
              </w:rPr>
            </w:pPr>
            <w:r>
              <w:rPr>
                <w:rFonts w:asciiTheme="minorHAnsi" w:hAnsiTheme="minorHAnsi"/>
                <w:lang w:val="es-ES"/>
              </w:rPr>
              <w:t>No se cobrarán cuotas de matrícula. Costos adicionales, incluyendo cualquiera de los servicios sociales, dependen de la reglamentación de la institución que los recibe e serán de responsabilidad del estudiante de intercambio.</w:t>
            </w:r>
          </w:p>
          <w:p>
            <w:pPr>
              <w:pStyle w:val="11"/>
              <w:numPr>
                <w:ilvl w:val="0"/>
                <w:numId w:val="3"/>
              </w:numPr>
              <w:spacing w:line="276" w:lineRule="auto"/>
              <w:ind w:left="317" w:hanging="283"/>
              <w:jc w:val="both"/>
              <w:rPr>
                <w:rFonts w:asciiTheme="minorHAnsi" w:hAnsiTheme="minorHAnsi"/>
                <w:lang w:val="es-ES"/>
              </w:rPr>
            </w:pPr>
            <w:r>
              <w:rPr>
                <w:rFonts w:asciiTheme="minorHAnsi" w:hAnsiTheme="minorHAnsi"/>
                <w:lang w:val="es-ES"/>
              </w:rPr>
              <w:t>El estudiante de intercambio es responsable de sus gastos de manutención durante el periodo de intercambio, incluyendo cualquier gasto universitario diferente de la matrícula.</w:t>
            </w:r>
          </w:p>
          <w:p>
            <w:pPr>
              <w:spacing w:line="276" w:lineRule="auto"/>
              <w:ind w:left="34"/>
              <w:jc w:val="both"/>
              <w:rPr>
                <w:rFonts w:asciiTheme="minorHAnsi" w:hAnsiTheme="minorHAnsi"/>
                <w:lang w:val="es-ES"/>
              </w:rPr>
            </w:pPr>
          </w:p>
          <w:p>
            <w:pPr>
              <w:spacing w:line="276" w:lineRule="auto"/>
              <w:ind w:left="34"/>
              <w:jc w:val="both"/>
              <w:rPr>
                <w:rFonts w:cs="Arial" w:asciiTheme="minorHAnsi" w:hAnsiTheme="minorHAnsi"/>
                <w:b/>
                <w:color w:val="333333"/>
                <w:lang w:val="es-ES" w:eastAsia="pt-BR"/>
              </w:rPr>
            </w:pPr>
            <w:r>
              <w:rPr>
                <w:rFonts w:asciiTheme="minorHAnsi" w:hAnsiTheme="minorHAnsi"/>
                <w:b/>
                <w:lang w:val="es-ES"/>
              </w:rPr>
              <w:t>CLAUSULA 3 -</w:t>
            </w:r>
            <w:r>
              <w:rPr>
                <w:rFonts w:cs="Arial" w:asciiTheme="minorHAnsi" w:hAnsiTheme="minorHAnsi"/>
                <w:b/>
                <w:color w:val="333333"/>
                <w:lang w:val="es-ES" w:eastAsia="pt-BR"/>
              </w:rPr>
              <w:t xml:space="preserve"> INTERCAMBIO DE PERSONAL ACADÉMICO Y ADMINISTRATIVO</w:t>
            </w:r>
          </w:p>
          <w:p>
            <w:pPr>
              <w:numPr>
                <w:ilvl w:val="0"/>
                <w:numId w:val="4"/>
              </w:numPr>
              <w:shd w:val="clear" w:color="auto" w:fill="FFFFFF"/>
              <w:tabs>
                <w:tab w:val="left" w:pos="317"/>
              </w:tabs>
              <w:spacing w:line="276" w:lineRule="auto"/>
              <w:ind w:left="317" w:hanging="283"/>
              <w:jc w:val="both"/>
              <w:rPr>
                <w:rFonts w:cs="Arial" w:asciiTheme="minorHAnsi" w:hAnsiTheme="minorHAnsi"/>
                <w:lang w:val="es-ES" w:eastAsia="pt-BR"/>
              </w:rPr>
            </w:pPr>
            <w:r>
              <w:rPr>
                <w:rFonts w:cs="Arial" w:asciiTheme="minorHAnsi" w:hAnsiTheme="minorHAnsi"/>
                <w:lang w:val="es-ES" w:eastAsia="pt-BR"/>
              </w:rPr>
              <w:t>Los socios regulan el intercambio de personal académico y administrativo poniéndose de acuerdo en seleccionar aplicantes adecuados.</w:t>
            </w:r>
          </w:p>
          <w:p>
            <w:pPr>
              <w:numPr>
                <w:ilvl w:val="0"/>
                <w:numId w:val="4"/>
              </w:numPr>
              <w:shd w:val="clear" w:color="auto" w:fill="FFFFFF"/>
              <w:tabs>
                <w:tab w:val="left" w:pos="317"/>
              </w:tabs>
              <w:spacing w:line="276" w:lineRule="auto"/>
              <w:ind w:left="317" w:hanging="283"/>
              <w:jc w:val="both"/>
              <w:rPr>
                <w:rFonts w:cs="Arial" w:asciiTheme="minorHAnsi" w:hAnsiTheme="minorHAnsi"/>
                <w:lang w:val="es-ES" w:eastAsia="pt-BR"/>
              </w:rPr>
            </w:pPr>
            <w:r>
              <w:rPr>
                <w:rFonts w:cs="Arial" w:asciiTheme="minorHAnsi" w:hAnsiTheme="minorHAnsi"/>
                <w:lang w:val="es-ES" w:eastAsia="pt-BR"/>
              </w:rPr>
              <w:t>El personal académico y administrativo visitante no se convierte en empleado de la institución anfitriona.</w:t>
            </w:r>
          </w:p>
          <w:p>
            <w:pPr>
              <w:numPr>
                <w:ilvl w:val="0"/>
                <w:numId w:val="4"/>
              </w:numPr>
              <w:shd w:val="clear" w:color="auto" w:fill="FFFFFF"/>
              <w:tabs>
                <w:tab w:val="left" w:pos="317"/>
              </w:tabs>
              <w:spacing w:line="276" w:lineRule="auto"/>
              <w:ind w:left="317" w:hanging="283"/>
              <w:jc w:val="both"/>
              <w:rPr>
                <w:rFonts w:cs="Arial" w:asciiTheme="minorHAnsi" w:hAnsiTheme="minorHAnsi"/>
                <w:lang w:val="es-ES" w:eastAsia="pt-BR"/>
              </w:rPr>
            </w:pPr>
            <w:r>
              <w:rPr>
                <w:rFonts w:cs="Arial" w:asciiTheme="minorHAnsi" w:hAnsiTheme="minorHAnsi"/>
                <w:lang w:val="es-ES" w:eastAsia="pt-BR"/>
              </w:rPr>
              <w:t>Los socios se comprometen a proveer las condiciones de trabajo apropiadas.</w:t>
            </w:r>
          </w:p>
          <w:p>
            <w:pPr>
              <w:numPr>
                <w:ilvl w:val="0"/>
                <w:numId w:val="4"/>
              </w:numPr>
              <w:shd w:val="clear" w:color="auto" w:fill="FFFFFF"/>
              <w:tabs>
                <w:tab w:val="left" w:pos="317"/>
              </w:tabs>
              <w:spacing w:line="276" w:lineRule="auto"/>
              <w:ind w:left="317" w:hanging="283"/>
              <w:jc w:val="both"/>
              <w:rPr>
                <w:rFonts w:cs="Arial" w:asciiTheme="minorHAnsi" w:hAnsiTheme="minorHAnsi"/>
                <w:lang w:val="es-ES" w:eastAsia="pt-BR"/>
              </w:rPr>
            </w:pPr>
            <w:r>
              <w:rPr>
                <w:rFonts w:cs="Arial" w:asciiTheme="minorHAnsi" w:hAnsiTheme="minorHAnsi"/>
                <w:lang w:val="es-ES" w:eastAsia="pt-BR"/>
              </w:rPr>
              <w:t>No se cobrarán cuotas de matrícula. Costos adicionales, incluyendo cualquier servicio social, dependen de los reglamentos de la institución que recibe.</w:t>
            </w:r>
          </w:p>
          <w:p>
            <w:pPr>
              <w:numPr>
                <w:ilvl w:val="0"/>
                <w:numId w:val="4"/>
              </w:numPr>
              <w:shd w:val="clear" w:color="auto" w:fill="FFFFFF"/>
              <w:tabs>
                <w:tab w:val="left" w:pos="317"/>
              </w:tabs>
              <w:spacing w:line="276" w:lineRule="auto"/>
              <w:ind w:left="317" w:hanging="283"/>
              <w:jc w:val="both"/>
              <w:rPr>
                <w:rFonts w:cs="Arial" w:asciiTheme="minorHAnsi" w:hAnsiTheme="minorHAnsi"/>
                <w:lang w:val="es-ES" w:eastAsia="pt-BR"/>
              </w:rPr>
            </w:pPr>
            <w:r>
              <w:rPr>
                <w:rFonts w:cs="Arial" w:asciiTheme="minorHAnsi" w:hAnsiTheme="minorHAnsi"/>
                <w:lang w:val="es-ES" w:eastAsia="pt-BR"/>
              </w:rPr>
              <w:t>El personal administrativo y académico en intercambio es responsable de todos los gastos en que incurra durante el periodo de intercambio.</w:t>
            </w:r>
          </w:p>
          <w:p>
            <w:pPr>
              <w:shd w:val="clear" w:color="auto" w:fill="FFFFFF"/>
              <w:tabs>
                <w:tab w:val="left" w:pos="317"/>
              </w:tabs>
              <w:spacing w:line="276" w:lineRule="auto"/>
              <w:jc w:val="both"/>
              <w:rPr>
                <w:rFonts w:cs="Arial" w:asciiTheme="minorHAnsi" w:hAnsiTheme="minorHAnsi"/>
                <w:lang w:val="es-ES" w:eastAsia="pt-BR"/>
              </w:rPr>
            </w:pPr>
          </w:p>
          <w:p>
            <w:pPr>
              <w:shd w:val="clear" w:color="auto" w:fill="FFFFFF"/>
              <w:tabs>
                <w:tab w:val="left" w:pos="317"/>
              </w:tabs>
              <w:spacing w:line="276" w:lineRule="auto"/>
              <w:jc w:val="both"/>
              <w:rPr>
                <w:rFonts w:cs="Arial" w:asciiTheme="minorHAnsi" w:hAnsiTheme="minorHAnsi"/>
                <w:b/>
                <w:lang w:val="es-ES" w:eastAsia="pt-BR"/>
              </w:rPr>
            </w:pPr>
          </w:p>
          <w:p>
            <w:pPr>
              <w:shd w:val="clear" w:color="auto" w:fill="FFFFFF"/>
              <w:tabs>
                <w:tab w:val="left" w:pos="317"/>
              </w:tabs>
              <w:spacing w:line="276" w:lineRule="auto"/>
              <w:jc w:val="both"/>
              <w:rPr>
                <w:rFonts w:cs="Arial" w:asciiTheme="minorHAnsi" w:hAnsiTheme="minorHAnsi"/>
                <w:b/>
                <w:lang w:val="es-ES" w:eastAsia="pt-BR"/>
              </w:rPr>
            </w:pPr>
          </w:p>
          <w:p>
            <w:pPr>
              <w:shd w:val="clear" w:color="auto" w:fill="FFFFFF"/>
              <w:tabs>
                <w:tab w:val="left" w:pos="317"/>
              </w:tabs>
              <w:spacing w:line="276" w:lineRule="auto"/>
              <w:jc w:val="both"/>
              <w:rPr>
                <w:rFonts w:cs="Arial" w:asciiTheme="minorHAnsi" w:hAnsiTheme="minorHAnsi"/>
                <w:b/>
                <w:color w:val="333333"/>
                <w:lang w:val="es-ES" w:eastAsia="pt-BR"/>
              </w:rPr>
            </w:pPr>
            <w:r>
              <w:rPr>
                <w:rFonts w:cs="Arial" w:asciiTheme="minorHAnsi" w:hAnsiTheme="minorHAnsi"/>
                <w:b/>
                <w:lang w:val="es-ES" w:eastAsia="pt-BR"/>
              </w:rPr>
              <w:t>CLAUSULA 4 -</w:t>
            </w:r>
            <w:r>
              <w:rPr>
                <w:rFonts w:cs="Arial" w:asciiTheme="minorHAnsi" w:hAnsiTheme="minorHAnsi"/>
                <w:b/>
                <w:color w:val="333333"/>
                <w:lang w:val="es-ES" w:eastAsia="pt-BR"/>
              </w:rPr>
              <w:t xml:space="preserve"> IMPLEMENTACIÓN</w:t>
            </w:r>
          </w:p>
          <w:p>
            <w:pPr>
              <w:shd w:val="clear" w:color="auto" w:fill="FFFFFF"/>
              <w:tabs>
                <w:tab w:val="left" w:pos="317"/>
              </w:tabs>
              <w:spacing w:line="276" w:lineRule="auto"/>
              <w:jc w:val="both"/>
              <w:rPr>
                <w:rFonts w:cs="Arial" w:asciiTheme="minorHAnsi" w:hAnsiTheme="minorHAnsi"/>
                <w:lang w:val="es-ES" w:eastAsia="pt-BR"/>
              </w:rPr>
            </w:pPr>
            <w:r>
              <w:rPr>
                <w:rFonts w:cs="Arial" w:asciiTheme="minorHAnsi" w:hAnsiTheme="minorHAnsi"/>
                <w:lang w:val="es-ES" w:eastAsia="pt-BR"/>
              </w:rPr>
              <w:t>Los detalles para la implementación de cualquier actividad particular de cooperación que resulte de este Convenio de Cooperación, serán formalizados en Convenios Específicos e planes de trabajo debidamente aprobados y conectados a este Convenio de Cooperación. Estos instrumentos están sujetos a la disponibilidad de recursos de las partes.</w:t>
            </w:r>
          </w:p>
          <w:p>
            <w:pPr>
              <w:shd w:val="clear" w:color="auto" w:fill="FFFFFF"/>
              <w:tabs>
                <w:tab w:val="left" w:pos="317"/>
              </w:tabs>
              <w:spacing w:line="276" w:lineRule="auto"/>
              <w:jc w:val="both"/>
              <w:rPr>
                <w:rFonts w:cs="Arial" w:asciiTheme="minorHAnsi" w:hAnsiTheme="minorHAnsi"/>
                <w:lang w:val="es-ES" w:eastAsia="pt-BR"/>
              </w:rPr>
            </w:pPr>
          </w:p>
          <w:p>
            <w:pPr>
              <w:shd w:val="clear" w:color="auto" w:fill="FFFFFF"/>
              <w:tabs>
                <w:tab w:val="left" w:pos="317"/>
              </w:tabs>
              <w:spacing w:line="276" w:lineRule="auto"/>
              <w:jc w:val="both"/>
              <w:rPr>
                <w:rFonts w:cs="Arial" w:asciiTheme="minorHAnsi" w:hAnsiTheme="minorHAnsi"/>
                <w:lang w:val="es-ES" w:eastAsia="pt-BR"/>
              </w:rPr>
            </w:pPr>
            <w:r>
              <w:rPr>
                <w:rFonts w:cs="Arial" w:asciiTheme="minorHAnsi" w:hAnsiTheme="minorHAnsi"/>
                <w:lang w:val="es-ES" w:eastAsia="pt-BR"/>
              </w:rPr>
              <w:t>Los Convenios Específicos deberán contener, como mínimo, las siguientes informaciones</w:t>
            </w:r>
            <w:r>
              <w:rPr>
                <w:rFonts w:asciiTheme="minorHAnsi" w:hAnsiTheme="minorHAnsi"/>
                <w:lang w:val="es-ES"/>
              </w:rPr>
              <w:t>:</w:t>
            </w:r>
          </w:p>
          <w:p>
            <w:pPr>
              <w:shd w:val="clear" w:color="auto" w:fill="FFFFFF"/>
              <w:tabs>
                <w:tab w:val="left" w:pos="317"/>
              </w:tabs>
              <w:spacing w:line="276" w:lineRule="auto"/>
              <w:jc w:val="both"/>
              <w:rPr>
                <w:rFonts w:cs="Arial" w:asciiTheme="minorHAnsi" w:hAnsiTheme="minorHAnsi"/>
                <w:lang w:val="es-ES" w:eastAsia="pt-BR"/>
              </w:rPr>
            </w:pPr>
          </w:p>
          <w:p>
            <w:pPr>
              <w:pStyle w:val="11"/>
              <w:numPr>
                <w:ilvl w:val="0"/>
                <w:numId w:val="5"/>
              </w:numPr>
              <w:shd w:val="clear" w:color="auto" w:fill="FFFFFF"/>
              <w:tabs>
                <w:tab w:val="left" w:pos="317"/>
              </w:tabs>
              <w:spacing w:line="276" w:lineRule="auto"/>
              <w:ind w:left="317" w:hanging="283"/>
              <w:jc w:val="both"/>
              <w:rPr>
                <w:rFonts w:cs="Arial" w:asciiTheme="minorHAnsi" w:hAnsiTheme="minorHAnsi"/>
                <w:lang w:val="es-ES" w:eastAsia="pt-BR"/>
              </w:rPr>
            </w:pPr>
            <w:r>
              <w:rPr>
                <w:rFonts w:cs="Arial" w:asciiTheme="minorHAnsi" w:hAnsiTheme="minorHAnsi"/>
                <w:lang w:val="es-ES" w:eastAsia="pt-BR"/>
              </w:rPr>
              <w:t>Identificación del objeto a llevar a cabo;</w:t>
            </w:r>
          </w:p>
          <w:p>
            <w:pPr>
              <w:pStyle w:val="11"/>
              <w:numPr>
                <w:ilvl w:val="0"/>
                <w:numId w:val="5"/>
              </w:numPr>
              <w:shd w:val="clear" w:color="auto" w:fill="FFFFFF"/>
              <w:tabs>
                <w:tab w:val="left" w:pos="317"/>
              </w:tabs>
              <w:spacing w:line="276" w:lineRule="auto"/>
              <w:ind w:left="317" w:hanging="283"/>
              <w:jc w:val="both"/>
              <w:rPr>
                <w:rFonts w:cs="Arial" w:asciiTheme="minorHAnsi" w:hAnsiTheme="minorHAnsi"/>
                <w:lang w:val="es-ES" w:eastAsia="pt-BR"/>
              </w:rPr>
            </w:pPr>
            <w:r>
              <w:rPr>
                <w:rFonts w:cs="Arial" w:asciiTheme="minorHAnsi" w:hAnsiTheme="minorHAnsi"/>
                <w:lang w:val="es-ES" w:eastAsia="pt-BR"/>
              </w:rPr>
              <w:t>Metas a conseguir;</w:t>
            </w:r>
          </w:p>
          <w:p>
            <w:pPr>
              <w:pStyle w:val="11"/>
              <w:numPr>
                <w:ilvl w:val="0"/>
                <w:numId w:val="5"/>
              </w:numPr>
              <w:shd w:val="clear" w:color="auto" w:fill="FFFFFF"/>
              <w:tabs>
                <w:tab w:val="left" w:pos="317"/>
              </w:tabs>
              <w:spacing w:line="276" w:lineRule="auto"/>
              <w:ind w:left="317" w:hanging="283"/>
              <w:jc w:val="both"/>
              <w:rPr>
                <w:rFonts w:cs="Arial" w:asciiTheme="minorHAnsi" w:hAnsiTheme="minorHAnsi"/>
                <w:lang w:val="es-ES" w:eastAsia="pt-BR"/>
              </w:rPr>
            </w:pPr>
            <w:r>
              <w:rPr>
                <w:rFonts w:cs="Arial" w:asciiTheme="minorHAnsi" w:hAnsiTheme="minorHAnsi"/>
                <w:lang w:val="es-ES" w:eastAsia="pt-BR"/>
              </w:rPr>
              <w:t>Etapas o fases de ejecución;</w:t>
            </w:r>
          </w:p>
          <w:p>
            <w:pPr>
              <w:pStyle w:val="11"/>
              <w:numPr>
                <w:ilvl w:val="0"/>
                <w:numId w:val="5"/>
              </w:numPr>
              <w:shd w:val="clear" w:color="auto" w:fill="FFFFFF"/>
              <w:tabs>
                <w:tab w:val="left" w:pos="317"/>
              </w:tabs>
              <w:spacing w:line="276" w:lineRule="auto"/>
              <w:ind w:left="317" w:hanging="283"/>
              <w:jc w:val="both"/>
              <w:rPr>
                <w:rFonts w:cs="Arial" w:asciiTheme="minorHAnsi" w:hAnsiTheme="minorHAnsi"/>
                <w:lang w:val="es-ES" w:eastAsia="pt-BR"/>
              </w:rPr>
            </w:pPr>
            <w:r>
              <w:rPr>
                <w:rFonts w:cs="Arial" w:asciiTheme="minorHAnsi" w:hAnsiTheme="minorHAnsi"/>
                <w:lang w:val="es-ES" w:eastAsia="pt-BR"/>
              </w:rPr>
              <w:t>Plan de implementación de recursos financieros, cuando sea de aplicación;</w:t>
            </w:r>
          </w:p>
          <w:p>
            <w:pPr>
              <w:pStyle w:val="11"/>
              <w:numPr>
                <w:ilvl w:val="0"/>
                <w:numId w:val="5"/>
              </w:numPr>
              <w:shd w:val="clear" w:color="auto" w:fill="FFFFFF"/>
              <w:tabs>
                <w:tab w:val="left" w:pos="317"/>
              </w:tabs>
              <w:spacing w:line="276" w:lineRule="auto"/>
              <w:ind w:left="317" w:hanging="283"/>
              <w:jc w:val="both"/>
              <w:rPr>
                <w:rFonts w:cs="Arial" w:asciiTheme="minorHAnsi" w:hAnsiTheme="minorHAnsi"/>
                <w:lang w:val="es-ES" w:eastAsia="pt-BR"/>
              </w:rPr>
            </w:pPr>
            <w:r>
              <w:rPr>
                <w:rFonts w:cs="Arial" w:asciiTheme="minorHAnsi" w:hAnsiTheme="minorHAnsi"/>
                <w:lang w:val="es-ES" w:eastAsia="pt-BR"/>
              </w:rPr>
              <w:t>Cronograma de desembolsos, cuando sea de aplicación;</w:t>
            </w:r>
          </w:p>
          <w:p>
            <w:pPr>
              <w:pStyle w:val="11"/>
              <w:numPr>
                <w:ilvl w:val="0"/>
                <w:numId w:val="5"/>
              </w:numPr>
              <w:shd w:val="clear" w:color="auto" w:fill="FFFFFF"/>
              <w:tabs>
                <w:tab w:val="left" w:pos="317"/>
              </w:tabs>
              <w:spacing w:line="276" w:lineRule="auto"/>
              <w:ind w:left="317" w:hanging="283"/>
              <w:jc w:val="both"/>
              <w:rPr>
                <w:rFonts w:cs="Arial" w:asciiTheme="minorHAnsi" w:hAnsiTheme="minorHAnsi"/>
                <w:lang w:val="es-ES" w:eastAsia="pt-BR"/>
              </w:rPr>
            </w:pPr>
            <w:r>
              <w:rPr>
                <w:rFonts w:cs="Arial" w:asciiTheme="minorHAnsi" w:hAnsiTheme="minorHAnsi"/>
                <w:lang w:val="es-ES" w:eastAsia="pt-BR"/>
              </w:rPr>
              <w:t>Previsión del inicio y fin de ejecución del proyecto específico, así como de la realización de los pasos o fases programados.</w:t>
            </w:r>
          </w:p>
          <w:p>
            <w:pPr>
              <w:pStyle w:val="11"/>
              <w:shd w:val="clear" w:color="auto" w:fill="FFFFFF"/>
              <w:tabs>
                <w:tab w:val="left" w:pos="317"/>
              </w:tabs>
              <w:spacing w:line="276" w:lineRule="auto"/>
              <w:ind w:left="317"/>
              <w:jc w:val="both"/>
              <w:rPr>
                <w:rFonts w:cs="Arial" w:asciiTheme="minorHAnsi" w:hAnsiTheme="minorHAnsi"/>
                <w:lang w:val="es-ES" w:eastAsia="pt-BR"/>
              </w:rPr>
            </w:pPr>
            <w:r>
              <w:rPr>
                <w:rFonts w:cs="Arial" w:asciiTheme="minorHAnsi" w:hAnsiTheme="minorHAnsi"/>
                <w:lang w:val="es-ES" w:eastAsia="pt-BR"/>
              </w:rPr>
              <w:t xml:space="preserve"> </w:t>
            </w:r>
          </w:p>
          <w:p>
            <w:pPr>
              <w:shd w:val="clear" w:color="auto" w:fill="FFFFFF"/>
              <w:tabs>
                <w:tab w:val="left" w:pos="317"/>
              </w:tabs>
              <w:spacing w:line="276" w:lineRule="auto"/>
              <w:jc w:val="both"/>
              <w:rPr>
                <w:rFonts w:cs="Arial" w:asciiTheme="minorHAnsi" w:hAnsiTheme="minorHAnsi"/>
                <w:lang w:val="es-ES" w:eastAsia="pt-BR"/>
              </w:rPr>
            </w:pPr>
          </w:p>
          <w:p>
            <w:pPr>
              <w:shd w:val="clear" w:color="auto" w:fill="FFFFFF"/>
              <w:tabs>
                <w:tab w:val="left" w:pos="317"/>
              </w:tabs>
              <w:spacing w:line="276" w:lineRule="auto"/>
              <w:jc w:val="both"/>
              <w:rPr>
                <w:rFonts w:asciiTheme="minorHAnsi" w:hAnsiTheme="minorHAnsi"/>
                <w:b/>
                <w:lang w:val="es-ES"/>
              </w:rPr>
            </w:pPr>
            <w:r>
              <w:rPr>
                <w:rFonts w:cs="Arial" w:asciiTheme="minorHAnsi" w:hAnsiTheme="minorHAnsi"/>
                <w:b/>
                <w:lang w:val="es-ES" w:eastAsia="pt-BR"/>
              </w:rPr>
              <w:t>CLAUSULA 5 -</w:t>
            </w:r>
            <w:r>
              <w:rPr>
                <w:rFonts w:asciiTheme="minorHAnsi" w:hAnsiTheme="minorHAnsi"/>
                <w:b/>
                <w:lang w:val="es-ES"/>
              </w:rPr>
              <w:t xml:space="preserve"> DURACIÓN DEL CONVENIO</w:t>
            </w:r>
          </w:p>
          <w:p>
            <w:pPr>
              <w:shd w:val="clear" w:color="auto" w:fill="FFFFFF"/>
              <w:tabs>
                <w:tab w:val="left" w:pos="317"/>
              </w:tabs>
              <w:spacing w:line="276" w:lineRule="auto"/>
              <w:jc w:val="both"/>
              <w:rPr>
                <w:rFonts w:asciiTheme="minorHAnsi" w:hAnsiTheme="minorHAnsi"/>
                <w:lang w:val="es-ES"/>
              </w:rPr>
            </w:pPr>
            <w:r>
              <w:rPr>
                <w:rFonts w:asciiTheme="minorHAnsi" w:hAnsiTheme="minorHAnsi"/>
                <w:lang w:val="es-ES"/>
              </w:rPr>
              <w:t>El presente Convenio de Cooperación tendrá una vigencia de sesenta (60) meses, iniciando el día de la firma del convenio. Después de este periodo, el convenio será considerado nulo e inválido.</w:t>
            </w:r>
          </w:p>
          <w:p>
            <w:pPr>
              <w:shd w:val="clear" w:color="auto" w:fill="FFFFFF"/>
              <w:tabs>
                <w:tab w:val="left" w:pos="317"/>
              </w:tabs>
              <w:spacing w:line="276" w:lineRule="auto"/>
              <w:jc w:val="both"/>
              <w:rPr>
                <w:rFonts w:asciiTheme="minorHAnsi" w:hAnsiTheme="minorHAnsi"/>
                <w:lang w:val="es-ES"/>
              </w:rPr>
            </w:pPr>
          </w:p>
          <w:p>
            <w:pPr>
              <w:shd w:val="clear" w:color="auto" w:fill="FFFFFF"/>
              <w:tabs>
                <w:tab w:val="left" w:pos="317"/>
              </w:tabs>
              <w:spacing w:line="276" w:lineRule="auto"/>
              <w:jc w:val="both"/>
              <w:rPr>
                <w:rFonts w:asciiTheme="minorHAnsi" w:hAnsiTheme="minorHAnsi"/>
                <w:lang w:val="es-ES"/>
              </w:rPr>
            </w:pPr>
          </w:p>
          <w:p>
            <w:pPr>
              <w:shd w:val="clear" w:color="auto" w:fill="FFFFFF"/>
              <w:tabs>
                <w:tab w:val="left" w:pos="317"/>
              </w:tabs>
              <w:spacing w:line="276" w:lineRule="auto"/>
              <w:jc w:val="both"/>
              <w:rPr>
                <w:rFonts w:cs="Arial" w:asciiTheme="minorHAnsi" w:hAnsiTheme="minorHAnsi"/>
                <w:b/>
                <w:lang w:val="es-ES" w:eastAsia="pt-BR"/>
              </w:rPr>
            </w:pPr>
            <w:r>
              <w:rPr>
                <w:rFonts w:asciiTheme="minorHAnsi" w:hAnsiTheme="minorHAnsi"/>
                <w:b/>
                <w:lang w:val="es-ES"/>
              </w:rPr>
              <w:t>CLAUSULA 6 -  TERMINACION</w:t>
            </w:r>
          </w:p>
          <w:p>
            <w:pPr>
              <w:spacing w:line="276" w:lineRule="auto"/>
              <w:jc w:val="both"/>
              <w:rPr>
                <w:rFonts w:asciiTheme="minorHAnsi" w:hAnsiTheme="minorHAnsi"/>
                <w:lang w:val="es-ES"/>
              </w:rPr>
            </w:pPr>
            <w:r>
              <w:rPr>
                <w:rFonts w:asciiTheme="minorHAnsi" w:hAnsiTheme="minorHAnsi"/>
                <w:lang w:val="es-ES"/>
              </w:rPr>
              <w:t>Este Convenio de Cooperación podrá ser denunciado o rescindido por cualquiera de las partes siempre que la otra parte sea informada por escrito con al menos treinta días de antelación. Las actividades en proceso acordadas por Convenios Específicos no se verán afectadas y deberán en consecuencia ser completadas aún cuando haya denuncia por una delas partes.</w:t>
            </w:r>
          </w:p>
          <w:p>
            <w:pPr>
              <w:spacing w:line="276" w:lineRule="auto"/>
              <w:jc w:val="both"/>
              <w:rPr>
                <w:rFonts w:asciiTheme="minorHAnsi" w:hAnsiTheme="minorHAnsi"/>
                <w:lang w:val="es-ES"/>
              </w:rPr>
            </w:pPr>
          </w:p>
          <w:p>
            <w:pPr>
              <w:spacing w:line="276" w:lineRule="auto"/>
              <w:jc w:val="both"/>
              <w:rPr>
                <w:rFonts w:asciiTheme="minorHAnsi" w:hAnsiTheme="minorHAnsi"/>
                <w:lang w:val="es-ES"/>
              </w:rPr>
            </w:pPr>
          </w:p>
          <w:p>
            <w:pPr>
              <w:spacing w:line="276" w:lineRule="auto"/>
              <w:jc w:val="both"/>
              <w:rPr>
                <w:rFonts w:asciiTheme="minorHAnsi" w:hAnsiTheme="minorHAnsi"/>
                <w:lang w:val="es-ES"/>
              </w:rPr>
            </w:pPr>
          </w:p>
          <w:p>
            <w:pPr>
              <w:spacing w:line="276" w:lineRule="auto"/>
              <w:jc w:val="both"/>
              <w:rPr>
                <w:rFonts w:asciiTheme="minorHAnsi" w:hAnsiTheme="minorHAnsi"/>
                <w:b/>
                <w:lang w:val="es-ES"/>
              </w:rPr>
            </w:pPr>
            <w:r>
              <w:rPr>
                <w:rFonts w:asciiTheme="minorHAnsi" w:hAnsiTheme="minorHAnsi"/>
                <w:b/>
                <w:lang w:val="es-ES"/>
              </w:rPr>
              <w:t>CLAUSULA 7 -  IMPUGNACION</w:t>
            </w:r>
          </w:p>
          <w:p>
            <w:pPr>
              <w:spacing w:line="276" w:lineRule="auto"/>
              <w:jc w:val="both"/>
              <w:rPr>
                <w:rFonts w:asciiTheme="minorHAnsi" w:hAnsiTheme="minorHAnsi"/>
                <w:lang w:val="es-ES"/>
              </w:rPr>
            </w:pPr>
            <w:r>
              <w:rPr>
                <w:rFonts w:asciiTheme="minorHAnsi" w:hAnsiTheme="minorHAnsi"/>
                <w:lang w:val="es-ES"/>
              </w:rPr>
              <w:t>Las dos partes solucionarán cualquier duda o controversia sobre el presente Convenio por medio de negociación directa. Si no se logra un acuerdo por negociación directa entre las dos partes, se tratará de negociar a través del arbitraje. La UFSB elegirá un árbitro, la …………. elegirá otro árbitro y el tercero será elegido de común acuerdo.</w:t>
            </w:r>
          </w:p>
          <w:p>
            <w:pPr>
              <w:spacing w:line="276" w:lineRule="auto"/>
              <w:jc w:val="both"/>
              <w:rPr>
                <w:rFonts w:asciiTheme="minorHAnsi" w:hAnsiTheme="minorHAnsi"/>
                <w:lang w:val="es-ES"/>
              </w:rPr>
            </w:pPr>
          </w:p>
          <w:p>
            <w:pPr>
              <w:spacing w:line="276" w:lineRule="auto"/>
              <w:jc w:val="both"/>
              <w:rPr>
                <w:rFonts w:asciiTheme="minorHAnsi" w:hAnsiTheme="minorHAnsi"/>
                <w:lang w:val="es-ES"/>
              </w:rPr>
            </w:pPr>
          </w:p>
          <w:p>
            <w:pPr>
              <w:spacing w:line="276" w:lineRule="auto"/>
              <w:jc w:val="both"/>
              <w:rPr>
                <w:rFonts w:asciiTheme="minorHAnsi" w:hAnsiTheme="minorHAnsi"/>
                <w:lang w:val="es-ES"/>
              </w:rPr>
            </w:pPr>
            <w:r>
              <w:rPr>
                <w:rFonts w:asciiTheme="minorHAnsi" w:hAnsiTheme="minorHAnsi"/>
                <w:lang w:val="es-ES"/>
              </w:rPr>
              <w:t>Leído el presente instrumento, enteradas las partes del contenido y alcance de cada una de sus cláusulas e indicando que en su celebración no existe dolo, mala fe, o cualquier otro motivo que vicie su consentimiento, firman el presente Convenio en dos copias con el mismo contenido y validez.</w:t>
            </w:r>
          </w:p>
          <w:p>
            <w:pPr>
              <w:spacing w:line="276" w:lineRule="auto"/>
              <w:jc w:val="both"/>
              <w:rPr>
                <w:rFonts w:asciiTheme="minorHAnsi" w:hAnsiTheme="minorHAnsi"/>
                <w:lang w:val="es-ES"/>
              </w:rPr>
            </w:pPr>
          </w:p>
          <w:p>
            <w:pPr>
              <w:spacing w:line="276" w:lineRule="auto"/>
              <w:jc w:val="center"/>
              <w:rPr>
                <w:rFonts w:asciiTheme="minorHAnsi" w:hAnsiTheme="minorHAnsi"/>
                <w:lang w:val="es-ES"/>
              </w:rPr>
            </w:pPr>
            <w:r>
              <w:rPr>
                <w:rFonts w:asciiTheme="minorHAnsi" w:hAnsiTheme="minorHAnsi"/>
                <w:lang w:val="es-ES"/>
              </w:rPr>
              <w:t>Fecha: …...................................</w:t>
            </w:r>
          </w:p>
          <w:p>
            <w:pPr>
              <w:spacing w:line="276" w:lineRule="auto"/>
              <w:ind w:left="-109"/>
              <w:jc w:val="both"/>
              <w:rPr>
                <w:rFonts w:eastAsia="Arial Unicode MS" w:cs="Microsoft Sans Serif" w:asciiTheme="minorHAnsi" w:hAnsiTheme="minorHAnsi"/>
                <w:lang w:val="es-ES"/>
              </w:rPr>
            </w:pPr>
          </w:p>
          <w:p>
            <w:pPr>
              <w:spacing w:line="276" w:lineRule="auto"/>
              <w:ind w:left="-109"/>
              <w:jc w:val="both"/>
              <w:rPr>
                <w:rFonts w:eastAsia="Arial Unicode MS" w:cs="Microsoft Sans Serif" w:asciiTheme="minorHAnsi" w:hAnsiTheme="minorHAnsi"/>
                <w:lang w:val="es-ES"/>
              </w:rPr>
            </w:pPr>
          </w:p>
          <w:p>
            <w:pPr>
              <w:spacing w:line="276" w:lineRule="auto"/>
              <w:ind w:left="-109"/>
              <w:jc w:val="both"/>
              <w:rPr>
                <w:rFonts w:eastAsia="Arial Unicode MS" w:cs="Microsoft Sans Serif" w:asciiTheme="minorHAnsi" w:hAnsiTheme="minorHAnsi"/>
                <w:lang w:val="es-ES"/>
              </w:rPr>
            </w:pPr>
          </w:p>
          <w:p>
            <w:pPr>
              <w:spacing w:line="276" w:lineRule="auto"/>
              <w:ind w:left="-109"/>
              <w:jc w:val="both"/>
              <w:rPr>
                <w:rFonts w:eastAsia="Arial Unicode MS" w:cs="Microsoft Sans Serif" w:asciiTheme="minorHAnsi" w:hAnsiTheme="minorHAnsi"/>
                <w:lang w:val="es-ES"/>
              </w:rPr>
            </w:pPr>
          </w:p>
          <w:p>
            <w:pPr>
              <w:spacing w:line="276" w:lineRule="auto"/>
              <w:ind w:left="-109"/>
              <w:jc w:val="both"/>
              <w:rPr>
                <w:rFonts w:eastAsia="Arial Unicode MS" w:cs="Microsoft Sans Serif" w:asciiTheme="minorHAnsi" w:hAnsiTheme="minorHAnsi"/>
                <w:lang w:val="es-ES"/>
              </w:rPr>
            </w:pPr>
          </w:p>
          <w:p>
            <w:pPr>
              <w:spacing w:line="276" w:lineRule="auto"/>
              <w:ind w:left="-109"/>
              <w:jc w:val="center"/>
              <w:rPr>
                <w:rFonts w:eastAsia="Arial Unicode MS" w:cs="Microsoft Sans Serif" w:asciiTheme="minorHAnsi" w:hAnsiTheme="minorHAnsi"/>
                <w:b/>
                <w:lang w:val="es-ES"/>
              </w:rPr>
            </w:pPr>
            <w:r>
              <w:rPr>
                <w:rFonts w:eastAsia="Arial Unicode MS" w:cs="Microsoft Sans Serif" w:asciiTheme="minorHAnsi" w:hAnsiTheme="minorHAnsi"/>
                <w:b/>
                <w:lang w:val="es-ES"/>
              </w:rPr>
              <w:t>PROF/A. DR/A. ....................................</w:t>
            </w:r>
          </w:p>
          <w:p>
            <w:pPr>
              <w:spacing w:line="276" w:lineRule="auto"/>
              <w:ind w:left="-109"/>
              <w:jc w:val="center"/>
              <w:rPr>
                <w:rFonts w:eastAsia="Arial Unicode MS" w:cs="Microsoft Sans Serif" w:asciiTheme="minorHAnsi" w:hAnsiTheme="minorHAnsi"/>
                <w:lang w:val="es-ES"/>
              </w:rPr>
            </w:pPr>
            <w:r>
              <w:rPr>
                <w:rFonts w:eastAsia="Arial Unicode MS" w:cs="Microsoft Sans Serif" w:asciiTheme="minorHAnsi" w:hAnsiTheme="minorHAnsi"/>
                <w:lang w:val="es-ES"/>
              </w:rPr>
              <w:t>Rector/a de ............</w:t>
            </w:r>
          </w:p>
          <w:p>
            <w:pPr>
              <w:spacing w:line="276" w:lineRule="auto"/>
              <w:jc w:val="both"/>
              <w:rPr>
                <w:rFonts w:asciiTheme="minorHAnsi" w:hAnsiTheme="minorHAnsi"/>
                <w:lang w:val="es-ES"/>
              </w:rPr>
            </w:pPr>
          </w:p>
        </w:tc>
        <w:tc>
          <w:tcPr>
            <w:tcW w:w="709" w:type="dxa"/>
          </w:tcPr>
          <w:p>
            <w:pPr>
              <w:tabs>
                <w:tab w:val="left" w:pos="164"/>
              </w:tabs>
              <w:spacing w:before="240" w:after="240" w:line="276" w:lineRule="auto"/>
              <w:jc w:val="both"/>
              <w:rPr>
                <w:rFonts w:asciiTheme="minorHAnsi" w:hAnsiTheme="minorHAnsi"/>
              </w:rPr>
            </w:pPr>
          </w:p>
        </w:tc>
        <w:tc>
          <w:tcPr>
            <w:tcW w:w="4677" w:type="dxa"/>
          </w:tcPr>
          <w:p>
            <w:pPr>
              <w:pStyle w:val="9"/>
              <w:spacing w:line="276" w:lineRule="auto"/>
              <w:ind w:left="-109" w:firstLine="0"/>
              <w:rPr>
                <w:rFonts w:asciiTheme="minorHAnsi" w:hAnsiTheme="minorHAnsi"/>
                <w:b/>
                <w:sz w:val="20"/>
              </w:rPr>
            </w:pPr>
          </w:p>
          <w:p>
            <w:pPr>
              <w:pStyle w:val="9"/>
              <w:spacing w:line="276" w:lineRule="auto"/>
              <w:ind w:left="-109" w:firstLine="0"/>
              <w:rPr>
                <w:rFonts w:asciiTheme="minorHAnsi" w:hAnsiTheme="minorHAnsi"/>
                <w:b/>
                <w:sz w:val="20"/>
              </w:rPr>
            </w:pPr>
            <w:r>
              <w:rPr>
                <w:rFonts w:asciiTheme="minorHAnsi" w:hAnsiTheme="minorHAnsi"/>
                <w:b/>
                <w:sz w:val="20"/>
              </w:rPr>
              <w:t>[</w:t>
            </w:r>
          </w:p>
          <w:p>
            <w:pPr>
              <w:pStyle w:val="9"/>
              <w:spacing w:line="276" w:lineRule="auto"/>
              <w:ind w:left="-109" w:firstLine="0"/>
              <w:rPr>
                <w:rFonts w:asciiTheme="minorHAnsi" w:hAnsiTheme="minorHAnsi"/>
                <w:b/>
                <w:sz w:val="20"/>
              </w:rPr>
            </w:pPr>
            <w:r>
              <w:rPr>
                <w:rFonts w:asciiTheme="minorHAnsi" w:hAnsiTheme="minorHAnsi"/>
                <w:b/>
                <w:sz w:val="20"/>
              </w:rPr>
              <w:t>ACORDO DE COOPERAÇÃO QUE ENTRE SI CELEBRAM A UNIVERSIDADE FEDERAL DO SUL DA BAHIA(UFSB), BRASIL, E A ...................................................................</w:t>
            </w:r>
          </w:p>
          <w:p>
            <w:pPr>
              <w:spacing w:line="276" w:lineRule="auto"/>
              <w:ind w:left="-108"/>
              <w:jc w:val="both"/>
              <w:rPr>
                <w:rFonts w:asciiTheme="minorHAnsi" w:hAnsiTheme="minorHAnsi"/>
                <w:lang w:val="pt-BR"/>
              </w:rPr>
            </w:pPr>
          </w:p>
          <w:p>
            <w:pPr>
              <w:spacing w:line="276" w:lineRule="auto"/>
              <w:ind w:left="-108"/>
              <w:jc w:val="both"/>
              <w:rPr>
                <w:rFonts w:asciiTheme="minorHAnsi" w:hAnsiTheme="minorHAnsi"/>
                <w:lang w:val="pt-BR"/>
              </w:rPr>
            </w:pPr>
          </w:p>
          <w:p>
            <w:pPr>
              <w:spacing w:line="276" w:lineRule="auto"/>
              <w:ind w:left="-108"/>
              <w:jc w:val="both"/>
              <w:rPr>
                <w:rFonts w:asciiTheme="minorHAnsi" w:hAnsiTheme="minorHAnsi"/>
                <w:lang w:val="pt-BR"/>
              </w:rPr>
            </w:pPr>
            <w:r>
              <w:rPr>
                <w:rFonts w:asciiTheme="minorHAnsi" w:hAnsiTheme="minorHAnsi"/>
                <w:lang w:val="pt-BR"/>
              </w:rPr>
              <w:t xml:space="preserve">A </w:t>
            </w:r>
            <w:r>
              <w:rPr>
                <w:rFonts w:cs="Arial" w:asciiTheme="minorHAnsi" w:hAnsiTheme="minorHAnsi"/>
                <w:b/>
                <w:lang w:val="es-ES"/>
              </w:rPr>
              <w:t>UNIVERSIDADE FEDERAL DO SUL DA BAHIA</w:t>
            </w:r>
            <w:r>
              <w:rPr>
                <w:rFonts w:asciiTheme="minorHAnsi" w:hAnsiTheme="minorHAnsi"/>
                <w:lang w:val="pt-BR"/>
              </w:rPr>
              <w:t xml:space="preserve">, pessoa jurídica de direito público, nos termos da Lei n.º 1254/50, de 04 de dezembro, organizada sob a forma de autarquia de regime especial, com sede </w:t>
            </w:r>
            <w:r>
              <w:rPr>
                <w:rFonts w:ascii="Calibri" w:hAnsi="Calibri"/>
              </w:rPr>
              <w:t>Rua  Vitória da Conquista, Km 39, BR 415, Ferradas, Itabuna-Ba; CEP 45613-20</w:t>
            </w:r>
            <w:r>
              <w:rPr>
                <w:rFonts w:asciiTheme="minorHAnsi" w:hAnsiTheme="minorHAnsi"/>
                <w:lang w:val="pt-BR"/>
              </w:rPr>
              <w:t xml:space="preserve">, Brasil, doravante denominada </w:t>
            </w:r>
            <w:r>
              <w:rPr>
                <w:rFonts w:asciiTheme="minorHAnsi" w:hAnsiTheme="minorHAnsi"/>
                <w:b/>
                <w:lang w:val="pt-BR"/>
              </w:rPr>
              <w:t>UFSB</w:t>
            </w:r>
            <w:r>
              <w:rPr>
                <w:rFonts w:asciiTheme="minorHAnsi" w:hAnsiTheme="minorHAnsi"/>
                <w:lang w:val="pt-BR"/>
              </w:rPr>
              <w:t>, neste ato representada por sua Reitora</w:t>
            </w:r>
            <w:r>
              <w:rPr>
                <w:rFonts w:asciiTheme="minorHAnsi" w:hAnsiTheme="minorHAnsi"/>
                <w:b/>
                <w:lang w:val="pt-BR"/>
              </w:rPr>
              <w:t xml:space="preserve">, </w:t>
            </w:r>
            <w:r>
              <w:rPr>
                <w:rFonts w:cs="Arial" w:asciiTheme="minorHAnsi" w:hAnsiTheme="minorHAnsi"/>
                <w:b/>
                <w:bCs/>
                <w:lang w:val="pt-BR"/>
              </w:rPr>
              <w:t xml:space="preserve">Professora Dra. </w:t>
            </w:r>
            <w:r>
              <w:rPr>
                <w:rFonts w:cs="Arial" w:asciiTheme="minorHAnsi" w:hAnsiTheme="minorHAnsi"/>
                <w:b/>
                <w:lang w:val="es-ES"/>
              </w:rPr>
              <w:t>Joana Angélica Guimarães da Luz</w:t>
            </w:r>
            <w:r>
              <w:rPr>
                <w:rFonts w:cs="Arial" w:asciiTheme="minorHAnsi" w:hAnsiTheme="minorHAnsi"/>
                <w:bCs/>
                <w:lang w:val="pt-BR"/>
              </w:rPr>
              <w:t xml:space="preserve">, </w:t>
            </w:r>
            <w:r>
              <w:rPr>
                <w:rFonts w:asciiTheme="minorHAnsi" w:hAnsiTheme="minorHAnsi"/>
                <w:lang w:val="pt-BR"/>
              </w:rPr>
              <w:t>no uso de suas atribuições que lhe confere o artigo 30, inciso XII do estatuto da UFSB, e a ..........................................................................</w:t>
            </w:r>
            <w:r>
              <w:rPr>
                <w:rFonts w:eastAsia="Arial Unicode MS" w:cs="Arial Unicode MS" w:asciiTheme="minorHAnsi" w:hAnsiTheme="minorHAnsi"/>
                <w:lang w:val="pt-BR"/>
              </w:rPr>
              <w:t xml:space="preserve">, com sede à ....................................................., </w:t>
            </w:r>
            <w:r>
              <w:rPr>
                <w:rFonts w:asciiTheme="minorHAnsi" w:hAnsiTheme="minorHAnsi"/>
                <w:lang w:val="pt-BR"/>
              </w:rPr>
              <w:t>doravante denominada ..................</w:t>
            </w:r>
            <w:r>
              <w:rPr>
                <w:rFonts w:asciiTheme="minorHAnsi" w:hAnsiTheme="minorHAnsi"/>
                <w:b/>
                <w:lang w:val="pt-BR"/>
              </w:rPr>
              <w:t>,</w:t>
            </w:r>
            <w:r>
              <w:rPr>
                <w:rFonts w:asciiTheme="minorHAnsi" w:hAnsiTheme="minorHAnsi"/>
                <w:lang w:val="pt-BR"/>
              </w:rPr>
              <w:t xml:space="preserve"> neste ato representada por seu/sua Reitor/a, ........................................................., resolvem de comum acordo firmar o presente Acordo de Cooperação em conformidade com as cláusulas a seguir:</w:t>
            </w:r>
          </w:p>
          <w:p>
            <w:pPr>
              <w:spacing w:line="276" w:lineRule="auto"/>
              <w:ind w:left="468"/>
              <w:jc w:val="both"/>
              <w:rPr>
                <w:rFonts w:asciiTheme="minorHAnsi" w:hAnsiTheme="minorHAnsi"/>
                <w:lang w:val="pt-BR"/>
              </w:rPr>
            </w:pPr>
          </w:p>
          <w:p>
            <w:pPr>
              <w:spacing w:line="276" w:lineRule="auto"/>
              <w:ind w:left="468"/>
              <w:jc w:val="both"/>
              <w:rPr>
                <w:rFonts w:asciiTheme="minorHAnsi" w:hAnsiTheme="minorHAnsi"/>
                <w:lang w:val="pt-BR"/>
              </w:rPr>
            </w:pPr>
          </w:p>
          <w:p>
            <w:pPr>
              <w:spacing w:line="276" w:lineRule="auto"/>
              <w:ind w:left="-109"/>
              <w:jc w:val="both"/>
              <w:rPr>
                <w:rFonts w:asciiTheme="minorHAnsi" w:hAnsiTheme="minorHAnsi"/>
                <w:b/>
                <w:lang w:val="pt-BR"/>
              </w:rPr>
            </w:pPr>
            <w:r>
              <w:rPr>
                <w:rFonts w:asciiTheme="minorHAnsi" w:hAnsiTheme="minorHAnsi"/>
                <w:b/>
                <w:lang w:val="pt-BR"/>
              </w:rPr>
              <w:t>CLÁUSULA 1ª - OBJETO</w:t>
            </w:r>
          </w:p>
          <w:p>
            <w:pPr>
              <w:spacing w:line="276" w:lineRule="auto"/>
              <w:ind w:left="-109"/>
              <w:jc w:val="both"/>
              <w:rPr>
                <w:rFonts w:asciiTheme="minorHAnsi" w:hAnsiTheme="minorHAnsi"/>
                <w:lang w:val="pt-BR"/>
              </w:rPr>
            </w:pPr>
            <w:r>
              <w:rPr>
                <w:rFonts w:asciiTheme="minorHAnsi" w:hAnsiTheme="minorHAnsi"/>
                <w:lang w:val="pt-BR"/>
              </w:rPr>
              <w:t>O objeto do presente Acordo é estabelecer uma cooperação mútua ampla entre a UFSB e a ................... As Universidades signatárias manifestam a intenção de promover intercâmbios que trarão benefícios mútuos para as suas instituições. Intercâmbios educacionais, administrativos e acadêmicos são considerados aqui, mas não limitados a:</w:t>
            </w:r>
          </w:p>
          <w:p>
            <w:pPr>
              <w:spacing w:line="276" w:lineRule="auto"/>
              <w:ind w:left="-109"/>
              <w:jc w:val="both"/>
              <w:rPr>
                <w:rFonts w:asciiTheme="minorHAnsi" w:hAnsiTheme="minorHAnsi"/>
                <w:lang w:val="pt-BR"/>
              </w:rPr>
            </w:pPr>
          </w:p>
          <w:p>
            <w:pPr>
              <w:numPr>
                <w:ilvl w:val="0"/>
                <w:numId w:val="6"/>
              </w:numPr>
              <w:tabs>
                <w:tab w:val="left" w:pos="175"/>
                <w:tab w:val="clear" w:pos="720"/>
              </w:tabs>
              <w:suppressAutoHyphens/>
              <w:spacing w:line="276" w:lineRule="auto"/>
              <w:ind w:left="175" w:hanging="284"/>
              <w:jc w:val="both"/>
              <w:rPr>
                <w:rFonts w:asciiTheme="minorHAnsi" w:hAnsiTheme="minorHAnsi"/>
                <w:lang w:val="pt-BR"/>
              </w:rPr>
            </w:pPr>
            <w:r>
              <w:rPr>
                <w:rFonts w:asciiTheme="minorHAnsi" w:hAnsiTheme="minorHAnsi"/>
                <w:lang w:val="pt-BR"/>
              </w:rPr>
              <w:t>Visitas e intercâmbio de professores e estudantes, objetivando a realização da pesquisa, ensino e extensão nas mais diversas áreas acadêmicas bem como programas de gestão universitária;</w:t>
            </w:r>
          </w:p>
          <w:p>
            <w:pPr>
              <w:numPr>
                <w:ilvl w:val="0"/>
                <w:numId w:val="6"/>
              </w:numPr>
              <w:tabs>
                <w:tab w:val="left" w:pos="175"/>
                <w:tab w:val="clear" w:pos="720"/>
              </w:tabs>
              <w:suppressAutoHyphens/>
              <w:spacing w:line="276" w:lineRule="auto"/>
              <w:ind w:left="175" w:hanging="284"/>
              <w:jc w:val="both"/>
              <w:rPr>
                <w:rFonts w:asciiTheme="minorHAnsi" w:hAnsiTheme="minorHAnsi"/>
                <w:lang w:val="pt-BR"/>
              </w:rPr>
            </w:pPr>
            <w:r>
              <w:rPr>
                <w:rFonts w:asciiTheme="minorHAnsi" w:hAnsiTheme="minorHAnsi"/>
                <w:lang w:val="pt-BR"/>
              </w:rPr>
              <w:t>Coordenação e participação em atividades tais como projetos de pesquisa, seminários, conferências, em programas comuns de curto e longo prazos;</w:t>
            </w:r>
          </w:p>
          <w:p>
            <w:pPr>
              <w:numPr>
                <w:ilvl w:val="0"/>
                <w:numId w:val="6"/>
              </w:numPr>
              <w:tabs>
                <w:tab w:val="left" w:pos="175"/>
                <w:tab w:val="clear" w:pos="720"/>
              </w:tabs>
              <w:suppressAutoHyphens/>
              <w:spacing w:line="276" w:lineRule="auto"/>
              <w:ind w:left="175" w:hanging="284"/>
              <w:jc w:val="both"/>
              <w:rPr>
                <w:rFonts w:asciiTheme="minorHAnsi" w:hAnsiTheme="minorHAnsi"/>
                <w:lang w:val="pt-BR"/>
              </w:rPr>
            </w:pPr>
            <w:r>
              <w:rPr>
                <w:rFonts w:asciiTheme="minorHAnsi" w:hAnsiTheme="minorHAnsi"/>
                <w:lang w:val="pt-BR"/>
              </w:rPr>
              <w:t>Cursos de diferentes níveis e espécies para o corpo docente e discente;</w:t>
            </w:r>
          </w:p>
          <w:p>
            <w:pPr>
              <w:numPr>
                <w:ilvl w:val="0"/>
                <w:numId w:val="6"/>
              </w:numPr>
              <w:tabs>
                <w:tab w:val="left" w:pos="175"/>
                <w:tab w:val="clear" w:pos="720"/>
              </w:tabs>
              <w:suppressAutoHyphens/>
              <w:spacing w:line="276" w:lineRule="auto"/>
              <w:ind w:left="175" w:hanging="284"/>
              <w:jc w:val="both"/>
              <w:rPr>
                <w:rFonts w:asciiTheme="minorHAnsi" w:hAnsiTheme="minorHAnsi"/>
                <w:lang w:val="pt-BR"/>
              </w:rPr>
            </w:pPr>
            <w:r>
              <w:rPr>
                <w:rFonts w:asciiTheme="minorHAnsi" w:hAnsiTheme="minorHAnsi"/>
                <w:lang w:val="pt-BR"/>
              </w:rPr>
              <w:t>Intercâmbio mútuo de informações decorrentes de resultados de pesquisa, material acadêmico e publicações.</w:t>
            </w:r>
          </w:p>
          <w:p>
            <w:pPr>
              <w:tabs>
                <w:tab w:val="left" w:pos="175"/>
              </w:tabs>
              <w:spacing w:line="276" w:lineRule="auto"/>
              <w:ind w:left="175" w:hanging="284"/>
              <w:jc w:val="both"/>
              <w:rPr>
                <w:rFonts w:asciiTheme="minorHAnsi" w:hAnsiTheme="minorHAnsi"/>
                <w:lang w:val="pt-BR"/>
              </w:rPr>
            </w:pPr>
          </w:p>
          <w:p>
            <w:pPr>
              <w:spacing w:line="276" w:lineRule="auto"/>
              <w:ind w:left="-109"/>
              <w:jc w:val="both"/>
              <w:rPr>
                <w:rFonts w:asciiTheme="minorHAnsi" w:hAnsiTheme="minorHAnsi"/>
                <w:lang w:val="pt-BR"/>
              </w:rPr>
            </w:pPr>
          </w:p>
          <w:p>
            <w:pPr>
              <w:spacing w:line="276" w:lineRule="auto"/>
              <w:ind w:left="-109"/>
              <w:jc w:val="both"/>
              <w:rPr>
                <w:rFonts w:asciiTheme="minorHAnsi" w:hAnsiTheme="minorHAnsi"/>
                <w:lang w:val="pt-BR"/>
              </w:rPr>
            </w:pPr>
          </w:p>
          <w:p>
            <w:pPr>
              <w:spacing w:line="276" w:lineRule="auto"/>
              <w:ind w:left="-109"/>
              <w:jc w:val="both"/>
              <w:rPr>
                <w:rFonts w:asciiTheme="minorHAnsi" w:hAnsiTheme="minorHAnsi"/>
                <w:b/>
                <w:lang w:val="pt-BR"/>
              </w:rPr>
            </w:pPr>
            <w:r>
              <w:rPr>
                <w:rFonts w:asciiTheme="minorHAnsi" w:hAnsiTheme="minorHAnsi"/>
                <w:b/>
                <w:lang w:val="pt-BR"/>
              </w:rPr>
              <w:t>CLÁUSULA 2ª - INTERCÂMBIO ESTUDANTIL</w:t>
            </w:r>
          </w:p>
          <w:p>
            <w:pPr>
              <w:spacing w:line="276" w:lineRule="auto"/>
              <w:ind w:left="175" w:hanging="284"/>
              <w:jc w:val="both"/>
              <w:rPr>
                <w:rFonts w:asciiTheme="minorHAnsi" w:hAnsiTheme="minorHAnsi"/>
                <w:lang w:val="pt-BR"/>
              </w:rPr>
            </w:pPr>
            <w:r>
              <w:rPr>
                <w:rFonts w:asciiTheme="minorHAnsi" w:hAnsiTheme="minorHAnsi"/>
                <w:lang w:val="pt-BR"/>
              </w:rPr>
              <w:t xml:space="preserve">a)  As partes que assinam o acordo se comprometem a organizar o intercâmbio de estudantes conforme especificado na Cláusula Primeira, por um ou dois semestres acadêmicos. Períodos superiores podem ser admitidos desde que especificados em Termos Aditivos a este Acordo de Cooperação. Ambos os parceiros devem ter o mesmo número de estudantes para intercâmbio. </w:t>
            </w:r>
          </w:p>
          <w:p>
            <w:pPr>
              <w:spacing w:line="276" w:lineRule="auto"/>
              <w:ind w:left="175" w:hanging="284"/>
              <w:jc w:val="both"/>
              <w:rPr>
                <w:rFonts w:asciiTheme="minorHAnsi" w:hAnsiTheme="minorHAnsi"/>
                <w:lang w:val="pt-BR"/>
              </w:rPr>
            </w:pPr>
            <w:r>
              <w:rPr>
                <w:rFonts w:asciiTheme="minorHAnsi" w:hAnsiTheme="minorHAnsi"/>
                <w:lang w:val="pt-BR"/>
              </w:rPr>
              <w:t xml:space="preserve">b) </w:t>
            </w:r>
            <w:r>
              <w:rPr>
                <w:rFonts w:asciiTheme="minorHAnsi" w:hAnsiTheme="minorHAnsi"/>
                <w:lang w:val="pt-BR"/>
              </w:rPr>
              <w:tab/>
            </w:r>
            <w:r>
              <w:rPr>
                <w:rFonts w:asciiTheme="minorHAnsi" w:hAnsiTheme="minorHAnsi"/>
                <w:lang w:val="pt-BR"/>
              </w:rPr>
              <w:t xml:space="preserve">A instituição parceira que envia os estudantes deve apresentar os nomes dos candidatos aprovados para o intercâmbio. Os candidatos deverão preencher os requisitos de matrícula da instituição de acolhimento. </w:t>
            </w:r>
          </w:p>
          <w:p>
            <w:pPr>
              <w:spacing w:line="276" w:lineRule="auto"/>
              <w:ind w:left="175" w:hanging="284"/>
              <w:jc w:val="both"/>
              <w:rPr>
                <w:rFonts w:asciiTheme="minorHAnsi" w:hAnsiTheme="minorHAnsi"/>
                <w:lang w:val="pt-BR"/>
              </w:rPr>
            </w:pPr>
            <w:r>
              <w:rPr>
                <w:rFonts w:cs="Calibri" w:asciiTheme="minorHAnsi" w:hAnsiTheme="minorHAnsi"/>
                <w:lang w:val="pt-BR"/>
              </w:rPr>
              <w:t xml:space="preserve">c) </w:t>
            </w:r>
            <w:r>
              <w:rPr>
                <w:rFonts w:cs="Calibri" w:asciiTheme="minorHAnsi" w:hAnsiTheme="minorHAnsi"/>
                <w:lang w:val="pt-BR"/>
              </w:rPr>
              <w:tab/>
            </w:r>
            <w:r>
              <w:rPr>
                <w:rFonts w:cs="Calibri" w:asciiTheme="minorHAnsi" w:hAnsiTheme="minorHAnsi"/>
                <w:lang w:val="pt-BR"/>
              </w:rPr>
              <w:t xml:space="preserve">Os intercambistas estão inscritos como estudantes com todos os respectivos direitos e obrigações aplicáveis a alunos visitantes. O domínio da língua do país </w:t>
            </w:r>
            <w:r>
              <w:rPr>
                <w:rFonts w:asciiTheme="minorHAnsi" w:hAnsiTheme="minorHAnsi"/>
                <w:lang w:val="pt-BR"/>
              </w:rPr>
              <w:t xml:space="preserve">de acolhimento deve ser suficiente para que sejam cumpridos os objetivos do intercâmbio e obtidos os benefícios esperados.  </w:t>
            </w:r>
          </w:p>
          <w:p>
            <w:pPr>
              <w:spacing w:line="276" w:lineRule="auto"/>
              <w:ind w:left="175" w:hanging="284"/>
              <w:jc w:val="both"/>
              <w:rPr>
                <w:rFonts w:asciiTheme="minorHAnsi" w:hAnsiTheme="minorHAnsi"/>
                <w:lang w:val="pt-BR"/>
              </w:rPr>
            </w:pPr>
            <w:r>
              <w:rPr>
                <w:rFonts w:asciiTheme="minorHAnsi" w:hAnsiTheme="minorHAnsi"/>
                <w:lang w:val="pt-BR"/>
              </w:rPr>
              <w:t xml:space="preserve">d) </w:t>
            </w:r>
            <w:r>
              <w:rPr>
                <w:rFonts w:asciiTheme="minorHAnsi" w:hAnsiTheme="minorHAnsi"/>
                <w:lang w:val="pt-BR"/>
              </w:rPr>
              <w:tab/>
            </w:r>
            <w:r>
              <w:rPr>
                <w:rFonts w:asciiTheme="minorHAnsi" w:hAnsiTheme="minorHAnsi"/>
                <w:lang w:val="pt-BR"/>
              </w:rPr>
              <w:t xml:space="preserve">Não serão cobradas taxas de matrícula ou mensalidades. Encargos adicionais, incluindo quaisquer dos serviços sociais, dependem dos regulamentos da instituição receptora e serão suportados pelo intercambista. </w:t>
            </w:r>
          </w:p>
          <w:p>
            <w:pPr>
              <w:spacing w:line="276" w:lineRule="auto"/>
              <w:ind w:left="175" w:hanging="284"/>
              <w:jc w:val="both"/>
              <w:rPr>
                <w:rFonts w:asciiTheme="minorHAnsi" w:hAnsiTheme="minorHAnsi"/>
                <w:lang w:val="pt-BR"/>
              </w:rPr>
            </w:pPr>
            <w:r>
              <w:rPr>
                <w:rFonts w:asciiTheme="minorHAnsi" w:hAnsiTheme="minorHAnsi"/>
                <w:lang w:val="pt-BR"/>
              </w:rPr>
              <w:t xml:space="preserve">e) </w:t>
            </w:r>
            <w:r>
              <w:rPr>
                <w:rFonts w:asciiTheme="minorHAnsi" w:hAnsiTheme="minorHAnsi"/>
                <w:lang w:val="pt-BR"/>
              </w:rPr>
              <w:tab/>
            </w:r>
            <w:r>
              <w:rPr>
                <w:rFonts w:asciiTheme="minorHAnsi" w:hAnsiTheme="minorHAnsi"/>
                <w:lang w:val="pt-BR"/>
              </w:rPr>
              <w:t>O intercambista é responsável por todas as despesas de subsistência incorridas no período de intercâmbio, incluindo quaisquer despesas que não sejam taxas universitárias.</w:t>
            </w:r>
          </w:p>
          <w:p>
            <w:pPr>
              <w:spacing w:line="276" w:lineRule="auto"/>
              <w:ind w:left="-109"/>
              <w:jc w:val="both"/>
              <w:rPr>
                <w:rFonts w:asciiTheme="minorHAnsi" w:hAnsiTheme="minorHAnsi"/>
                <w:lang w:val="pt-BR"/>
              </w:rPr>
            </w:pPr>
          </w:p>
          <w:p>
            <w:pPr>
              <w:spacing w:line="276" w:lineRule="auto"/>
              <w:ind w:left="-109"/>
              <w:jc w:val="both"/>
              <w:rPr>
                <w:rFonts w:asciiTheme="minorHAnsi" w:hAnsiTheme="minorHAnsi"/>
                <w:lang w:val="pt-BR"/>
              </w:rPr>
            </w:pPr>
          </w:p>
          <w:p>
            <w:pPr>
              <w:spacing w:line="276" w:lineRule="auto"/>
              <w:ind w:left="-109"/>
              <w:jc w:val="both"/>
              <w:rPr>
                <w:rFonts w:asciiTheme="minorHAnsi" w:hAnsiTheme="minorHAnsi"/>
                <w:lang w:val="pt-BR"/>
              </w:rPr>
            </w:pPr>
          </w:p>
          <w:p>
            <w:pPr>
              <w:spacing w:line="276" w:lineRule="auto"/>
              <w:ind w:left="-109"/>
              <w:jc w:val="both"/>
              <w:rPr>
                <w:rFonts w:asciiTheme="minorHAnsi" w:hAnsiTheme="minorHAnsi"/>
                <w:lang w:val="pt-BR"/>
              </w:rPr>
            </w:pPr>
          </w:p>
          <w:p>
            <w:pPr>
              <w:shd w:val="clear" w:color="auto" w:fill="FFFFFF"/>
              <w:spacing w:line="276" w:lineRule="auto"/>
              <w:ind w:left="-109"/>
              <w:jc w:val="both"/>
              <w:rPr>
                <w:rFonts w:cs="Arial" w:asciiTheme="minorHAnsi" w:hAnsiTheme="minorHAnsi"/>
                <w:b/>
                <w:color w:val="333333"/>
                <w:lang w:val="pt-BR" w:eastAsia="pt-BR"/>
              </w:rPr>
            </w:pPr>
            <w:r>
              <w:rPr>
                <w:rFonts w:cs="Arial" w:asciiTheme="minorHAnsi" w:hAnsiTheme="minorHAnsi"/>
                <w:b/>
                <w:color w:val="333333"/>
                <w:lang w:val="pt-BR" w:eastAsia="pt-BR"/>
              </w:rPr>
              <w:t>CLÁUSULA 3ª - INTERCÂMBIO DE PESSOAL ACADÊMICO E ADMINISTRATIVO</w:t>
            </w:r>
          </w:p>
          <w:p>
            <w:pPr>
              <w:numPr>
                <w:ilvl w:val="0"/>
                <w:numId w:val="7"/>
              </w:numPr>
              <w:shd w:val="clear" w:color="auto" w:fill="FFFFFF"/>
              <w:tabs>
                <w:tab w:val="left" w:pos="851"/>
              </w:tabs>
              <w:spacing w:line="276" w:lineRule="auto"/>
              <w:ind w:left="175" w:hanging="284"/>
              <w:jc w:val="both"/>
              <w:rPr>
                <w:rFonts w:cs="Arial" w:asciiTheme="minorHAnsi" w:hAnsiTheme="minorHAnsi"/>
                <w:lang w:val="pt-BR" w:eastAsia="pt-BR"/>
              </w:rPr>
            </w:pPr>
            <w:r>
              <w:rPr>
                <w:rFonts w:cs="Arial" w:asciiTheme="minorHAnsi" w:hAnsiTheme="minorHAnsi"/>
                <w:lang w:val="pt-BR" w:eastAsia="pt-BR"/>
              </w:rPr>
              <w:t xml:space="preserve">Os parceiros regulamentam o intercâmbio do pessoal acadêmico e administrativo, concordando em selecionar candidatos adequados para tal. </w:t>
            </w:r>
          </w:p>
          <w:p>
            <w:pPr>
              <w:numPr>
                <w:ilvl w:val="0"/>
                <w:numId w:val="7"/>
              </w:numPr>
              <w:shd w:val="clear" w:color="auto" w:fill="FFFFFF"/>
              <w:tabs>
                <w:tab w:val="left" w:pos="851"/>
              </w:tabs>
              <w:spacing w:line="276" w:lineRule="auto"/>
              <w:ind w:left="175" w:hanging="284"/>
              <w:jc w:val="both"/>
              <w:rPr>
                <w:rFonts w:cs="Arial" w:asciiTheme="minorHAnsi" w:hAnsiTheme="minorHAnsi"/>
                <w:lang w:val="pt-BR" w:eastAsia="pt-BR"/>
              </w:rPr>
            </w:pPr>
            <w:r>
              <w:rPr>
                <w:rFonts w:cs="Arial" w:asciiTheme="minorHAnsi" w:hAnsiTheme="minorHAnsi"/>
                <w:lang w:val="pt-BR" w:eastAsia="pt-BR"/>
              </w:rPr>
              <w:t>O pessoal acadêmico e administrativo visitante não se torna funcionário da instituição de acolhimento.</w:t>
            </w:r>
          </w:p>
          <w:p>
            <w:pPr>
              <w:numPr>
                <w:ilvl w:val="0"/>
                <w:numId w:val="7"/>
              </w:numPr>
              <w:shd w:val="clear" w:color="auto" w:fill="FFFFFF"/>
              <w:tabs>
                <w:tab w:val="left" w:pos="851"/>
              </w:tabs>
              <w:suppressAutoHyphens/>
              <w:spacing w:line="276" w:lineRule="auto"/>
              <w:ind w:left="175" w:hanging="284"/>
              <w:jc w:val="both"/>
              <w:rPr>
                <w:rFonts w:asciiTheme="minorHAnsi" w:hAnsiTheme="minorHAnsi"/>
                <w:lang w:val="pt-BR"/>
              </w:rPr>
            </w:pPr>
            <w:r>
              <w:rPr>
                <w:rFonts w:cs="Arial" w:asciiTheme="minorHAnsi" w:hAnsiTheme="minorHAnsi"/>
                <w:lang w:val="pt-BR" w:eastAsia="pt-BR"/>
              </w:rPr>
              <w:t>Os parceiros se comprometem a proporcionar condições de trabalho adequadas.</w:t>
            </w:r>
          </w:p>
          <w:p>
            <w:pPr>
              <w:numPr>
                <w:ilvl w:val="0"/>
                <w:numId w:val="7"/>
              </w:numPr>
              <w:shd w:val="clear" w:color="auto" w:fill="FFFFFF"/>
              <w:tabs>
                <w:tab w:val="left" w:pos="851"/>
              </w:tabs>
              <w:suppressAutoHyphens/>
              <w:spacing w:line="276" w:lineRule="auto"/>
              <w:ind w:left="175" w:hanging="284"/>
              <w:jc w:val="both"/>
              <w:rPr>
                <w:rFonts w:asciiTheme="minorHAnsi" w:hAnsiTheme="minorHAnsi"/>
                <w:lang w:val="pt-BR"/>
              </w:rPr>
            </w:pPr>
            <w:r>
              <w:rPr>
                <w:rFonts w:asciiTheme="minorHAnsi" w:hAnsiTheme="minorHAnsi"/>
                <w:lang w:val="pt-BR"/>
              </w:rPr>
              <w:t xml:space="preserve">Não serão cobradas taxas de matrícula ou mensalidades. Encargos adicionais, incluindo quaisquer dos serviços sociais, dependem dos regulamentos da instituição receptora. </w:t>
            </w:r>
          </w:p>
          <w:p>
            <w:pPr>
              <w:numPr>
                <w:ilvl w:val="0"/>
                <w:numId w:val="7"/>
              </w:numPr>
              <w:tabs>
                <w:tab w:val="left" w:pos="851"/>
              </w:tabs>
              <w:suppressAutoHyphens/>
              <w:spacing w:line="276" w:lineRule="auto"/>
              <w:ind w:left="175" w:hanging="284"/>
              <w:jc w:val="both"/>
              <w:rPr>
                <w:rFonts w:asciiTheme="minorHAnsi" w:hAnsiTheme="minorHAnsi"/>
                <w:lang w:val="pt-BR"/>
              </w:rPr>
            </w:pPr>
            <w:r>
              <w:rPr>
                <w:rFonts w:asciiTheme="minorHAnsi" w:hAnsiTheme="minorHAnsi"/>
                <w:lang w:val="pt-BR"/>
              </w:rPr>
              <w:t>O pessoal acadêmico e administrativo em mobilidade é responsável por todas as despesas de subsistência incorridas no período de intercâmbio, incluindo quaisquer despesas que não sejam taxas universitárias.</w:t>
            </w:r>
          </w:p>
          <w:p>
            <w:pPr>
              <w:tabs>
                <w:tab w:val="left" w:pos="2205"/>
              </w:tabs>
              <w:spacing w:line="276" w:lineRule="auto"/>
              <w:ind w:left="-109"/>
              <w:jc w:val="both"/>
              <w:rPr>
                <w:rFonts w:asciiTheme="minorHAnsi" w:hAnsiTheme="minorHAnsi"/>
                <w:lang w:val="pt-BR"/>
              </w:rPr>
            </w:pPr>
            <w:r>
              <w:rPr>
                <w:rFonts w:asciiTheme="minorHAnsi" w:hAnsiTheme="minorHAnsi"/>
                <w:lang w:val="pt-BR"/>
              </w:rPr>
              <w:tab/>
            </w:r>
          </w:p>
          <w:p>
            <w:pPr>
              <w:tabs>
                <w:tab w:val="left" w:pos="2205"/>
              </w:tabs>
              <w:spacing w:line="276" w:lineRule="auto"/>
              <w:ind w:left="-109"/>
              <w:jc w:val="both"/>
              <w:rPr>
                <w:rFonts w:asciiTheme="minorHAnsi" w:hAnsiTheme="minorHAnsi"/>
                <w:lang w:val="pt-BR"/>
              </w:rPr>
            </w:pPr>
          </w:p>
          <w:p>
            <w:pPr>
              <w:spacing w:line="276" w:lineRule="auto"/>
              <w:ind w:left="-109"/>
              <w:jc w:val="both"/>
              <w:rPr>
                <w:rFonts w:asciiTheme="minorHAnsi" w:hAnsiTheme="minorHAnsi"/>
                <w:b/>
                <w:lang w:val="pt-BR"/>
              </w:rPr>
            </w:pPr>
            <w:r>
              <w:rPr>
                <w:rFonts w:asciiTheme="minorHAnsi" w:hAnsiTheme="minorHAnsi"/>
                <w:b/>
                <w:lang w:val="pt-BR"/>
              </w:rPr>
              <w:t>CLÁUSULA 4ª - TERMOS ADITIVOS</w:t>
            </w:r>
          </w:p>
          <w:p>
            <w:pPr>
              <w:spacing w:line="276" w:lineRule="auto"/>
              <w:ind w:left="-109"/>
              <w:jc w:val="both"/>
              <w:rPr>
                <w:rFonts w:asciiTheme="minorHAnsi" w:hAnsiTheme="minorHAnsi"/>
                <w:lang w:val="pt-BR"/>
              </w:rPr>
            </w:pPr>
            <w:r>
              <w:rPr>
                <w:rFonts w:asciiTheme="minorHAnsi" w:hAnsiTheme="minorHAnsi"/>
                <w:lang w:val="pt-BR"/>
              </w:rPr>
              <w:t>Detalhes de implementação de atividades específicas resultantes deste Acordo de Cooperação serão formalizados por Termos Aditivos e definidos em Planos de Trabalho, devidamente aprovados e vinculados ao presente Acordo. Estes instrumentos estão sujeitos à disponibilidade de recursos das partes.</w:t>
            </w:r>
          </w:p>
          <w:p>
            <w:pPr>
              <w:spacing w:line="276" w:lineRule="auto"/>
              <w:ind w:left="-109"/>
              <w:jc w:val="both"/>
              <w:rPr>
                <w:rFonts w:asciiTheme="minorHAnsi" w:hAnsiTheme="minorHAnsi"/>
                <w:lang w:val="pt-BR"/>
              </w:rPr>
            </w:pPr>
          </w:p>
          <w:p>
            <w:pPr>
              <w:spacing w:line="276" w:lineRule="auto"/>
              <w:ind w:left="-109"/>
              <w:jc w:val="both"/>
              <w:rPr>
                <w:rFonts w:asciiTheme="minorHAnsi" w:hAnsiTheme="minorHAnsi"/>
                <w:lang w:val="pt-BR"/>
              </w:rPr>
            </w:pPr>
          </w:p>
          <w:p>
            <w:pPr>
              <w:spacing w:line="276" w:lineRule="auto"/>
              <w:ind w:left="-109"/>
              <w:jc w:val="both"/>
              <w:rPr>
                <w:rFonts w:asciiTheme="minorHAnsi" w:hAnsiTheme="minorHAnsi"/>
                <w:lang w:val="pt-BR"/>
              </w:rPr>
            </w:pPr>
            <w:r>
              <w:rPr>
                <w:rFonts w:asciiTheme="minorHAnsi" w:hAnsiTheme="minorHAnsi"/>
                <w:lang w:val="pt-BR"/>
              </w:rPr>
              <w:t xml:space="preserve">PARÁGRAFO ÚNICO: Os Termos Aditivos aludidos nesta cláusula deverão conter, no mínimo, as seguintes informações: </w:t>
            </w:r>
          </w:p>
          <w:p>
            <w:pPr>
              <w:numPr>
                <w:ilvl w:val="0"/>
                <w:numId w:val="8"/>
              </w:numPr>
              <w:tabs>
                <w:tab w:val="left" w:pos="175"/>
                <w:tab w:val="clear" w:pos="720"/>
              </w:tabs>
              <w:suppressAutoHyphens/>
              <w:spacing w:line="276" w:lineRule="auto"/>
              <w:ind w:left="-109" w:firstLine="0"/>
              <w:jc w:val="both"/>
              <w:rPr>
                <w:rFonts w:asciiTheme="minorHAnsi" w:hAnsiTheme="minorHAnsi"/>
                <w:lang w:val="pt-BR"/>
              </w:rPr>
            </w:pPr>
            <w:r>
              <w:rPr>
                <w:rFonts w:asciiTheme="minorHAnsi" w:hAnsiTheme="minorHAnsi"/>
                <w:lang w:val="pt-BR"/>
              </w:rPr>
              <w:t>Identificação do objeto a ser executado;</w:t>
            </w:r>
          </w:p>
          <w:p>
            <w:pPr>
              <w:numPr>
                <w:ilvl w:val="0"/>
                <w:numId w:val="8"/>
              </w:numPr>
              <w:tabs>
                <w:tab w:val="left" w:pos="175"/>
                <w:tab w:val="clear" w:pos="720"/>
              </w:tabs>
              <w:suppressAutoHyphens/>
              <w:spacing w:line="276" w:lineRule="auto"/>
              <w:ind w:left="-109" w:firstLine="0"/>
              <w:jc w:val="both"/>
              <w:rPr>
                <w:rFonts w:asciiTheme="minorHAnsi" w:hAnsiTheme="minorHAnsi"/>
                <w:lang w:val="pt-BR"/>
              </w:rPr>
            </w:pPr>
            <w:r>
              <w:rPr>
                <w:rFonts w:asciiTheme="minorHAnsi" w:hAnsiTheme="minorHAnsi"/>
                <w:lang w:val="pt-BR"/>
              </w:rPr>
              <w:t>Metas a serem atingidas;</w:t>
            </w:r>
          </w:p>
          <w:p>
            <w:pPr>
              <w:numPr>
                <w:ilvl w:val="0"/>
                <w:numId w:val="8"/>
              </w:numPr>
              <w:tabs>
                <w:tab w:val="left" w:pos="175"/>
                <w:tab w:val="clear" w:pos="720"/>
              </w:tabs>
              <w:suppressAutoHyphens/>
              <w:spacing w:line="276" w:lineRule="auto"/>
              <w:ind w:left="-109" w:firstLine="0"/>
              <w:jc w:val="both"/>
              <w:rPr>
                <w:rFonts w:asciiTheme="minorHAnsi" w:hAnsiTheme="minorHAnsi"/>
                <w:lang w:val="pt-BR"/>
              </w:rPr>
            </w:pPr>
            <w:r>
              <w:rPr>
                <w:rFonts w:asciiTheme="minorHAnsi" w:hAnsiTheme="minorHAnsi"/>
                <w:lang w:val="pt-BR"/>
              </w:rPr>
              <w:t>Etapas ou fases de execução;</w:t>
            </w:r>
          </w:p>
          <w:p>
            <w:pPr>
              <w:numPr>
                <w:ilvl w:val="0"/>
                <w:numId w:val="8"/>
              </w:numPr>
              <w:tabs>
                <w:tab w:val="left" w:pos="175"/>
                <w:tab w:val="clear" w:pos="720"/>
              </w:tabs>
              <w:suppressAutoHyphens/>
              <w:spacing w:line="276" w:lineRule="auto"/>
              <w:ind w:left="175" w:hanging="284"/>
              <w:jc w:val="both"/>
              <w:rPr>
                <w:rFonts w:asciiTheme="minorHAnsi" w:hAnsiTheme="minorHAnsi"/>
                <w:lang w:val="pt-BR"/>
              </w:rPr>
            </w:pPr>
            <w:r>
              <w:rPr>
                <w:rFonts w:asciiTheme="minorHAnsi" w:hAnsiTheme="minorHAnsi"/>
                <w:lang w:val="pt-BR"/>
              </w:rPr>
              <w:t>Plano de aplicação dos recursos financeiros, quando aplicável;</w:t>
            </w:r>
          </w:p>
          <w:p>
            <w:pPr>
              <w:numPr>
                <w:ilvl w:val="0"/>
                <w:numId w:val="8"/>
              </w:numPr>
              <w:tabs>
                <w:tab w:val="left" w:pos="175"/>
                <w:tab w:val="clear" w:pos="720"/>
              </w:tabs>
              <w:suppressAutoHyphens/>
              <w:spacing w:line="276" w:lineRule="auto"/>
              <w:ind w:left="175" w:hanging="284"/>
              <w:jc w:val="both"/>
              <w:rPr>
                <w:rFonts w:asciiTheme="minorHAnsi" w:hAnsiTheme="minorHAnsi"/>
                <w:lang w:val="pt-BR"/>
              </w:rPr>
            </w:pPr>
            <w:r>
              <w:rPr>
                <w:rFonts w:asciiTheme="minorHAnsi" w:hAnsiTheme="minorHAnsi"/>
                <w:lang w:val="pt-BR"/>
              </w:rPr>
              <w:t>Cronograma de desembolso, quando aplicável;</w:t>
            </w:r>
          </w:p>
          <w:p>
            <w:pPr>
              <w:numPr>
                <w:ilvl w:val="0"/>
                <w:numId w:val="8"/>
              </w:numPr>
              <w:tabs>
                <w:tab w:val="left" w:pos="175"/>
                <w:tab w:val="clear" w:pos="720"/>
              </w:tabs>
              <w:suppressAutoHyphens/>
              <w:spacing w:line="276" w:lineRule="auto"/>
              <w:ind w:left="175" w:hanging="284"/>
              <w:jc w:val="both"/>
              <w:rPr>
                <w:rFonts w:asciiTheme="minorHAnsi" w:hAnsiTheme="minorHAnsi"/>
                <w:lang w:val="pt-BR"/>
              </w:rPr>
            </w:pPr>
            <w:r>
              <w:rPr>
                <w:rFonts w:asciiTheme="minorHAnsi" w:hAnsiTheme="minorHAnsi"/>
                <w:lang w:val="pt-BR"/>
              </w:rPr>
              <w:t>Previsão de início e fim da execução do objeto, bem como da conclusão das etapas ou fases programadas.</w:t>
            </w:r>
          </w:p>
          <w:p>
            <w:pPr>
              <w:spacing w:line="276" w:lineRule="auto"/>
              <w:ind w:left="-109"/>
              <w:rPr>
                <w:rFonts w:asciiTheme="minorHAnsi" w:hAnsiTheme="minorHAnsi"/>
                <w:lang w:val="pt-BR"/>
              </w:rPr>
            </w:pPr>
          </w:p>
          <w:p>
            <w:pPr>
              <w:spacing w:line="276" w:lineRule="auto"/>
              <w:ind w:left="-109"/>
              <w:rPr>
                <w:rFonts w:asciiTheme="minorHAnsi" w:hAnsiTheme="minorHAnsi"/>
                <w:lang w:val="pt-BR"/>
              </w:rPr>
            </w:pPr>
          </w:p>
          <w:p>
            <w:pPr>
              <w:spacing w:line="276" w:lineRule="auto"/>
              <w:ind w:left="-109"/>
              <w:rPr>
                <w:rFonts w:asciiTheme="minorHAnsi" w:hAnsiTheme="minorHAnsi"/>
                <w:lang w:val="pt-BR"/>
              </w:rPr>
            </w:pPr>
          </w:p>
          <w:p>
            <w:pPr>
              <w:spacing w:line="276" w:lineRule="auto"/>
              <w:ind w:left="-109"/>
              <w:rPr>
                <w:rFonts w:asciiTheme="minorHAnsi" w:hAnsiTheme="minorHAnsi"/>
                <w:lang w:val="pt-BR"/>
              </w:rPr>
            </w:pPr>
          </w:p>
          <w:p>
            <w:pPr>
              <w:spacing w:line="276" w:lineRule="auto"/>
              <w:ind w:left="-109"/>
              <w:jc w:val="both"/>
              <w:rPr>
                <w:rFonts w:asciiTheme="minorHAnsi" w:hAnsiTheme="minorHAnsi"/>
                <w:b/>
                <w:lang w:val="pt-BR"/>
              </w:rPr>
            </w:pPr>
            <w:r>
              <w:rPr>
                <w:rFonts w:asciiTheme="minorHAnsi" w:hAnsiTheme="minorHAnsi"/>
                <w:b/>
                <w:lang w:val="pt-BR"/>
              </w:rPr>
              <w:t>CLÁUSULA 5ª - VIGÊNCIA</w:t>
            </w:r>
          </w:p>
          <w:p>
            <w:pPr>
              <w:spacing w:line="276" w:lineRule="auto"/>
              <w:ind w:left="-109"/>
              <w:jc w:val="both"/>
              <w:rPr>
                <w:rFonts w:asciiTheme="minorHAnsi" w:hAnsiTheme="minorHAnsi"/>
                <w:lang w:val="pt-BR"/>
              </w:rPr>
            </w:pPr>
            <w:r>
              <w:rPr>
                <w:rFonts w:asciiTheme="minorHAnsi" w:hAnsiTheme="minorHAnsi"/>
                <w:lang w:val="pt-BR"/>
              </w:rPr>
              <w:t>O presente Acordo de Cooperação vigorará pelo prazo de 60 (sessenta) meses, contados a partir da data da sua assinatura. Após este período, o Acordo será considerado nulo e sem efeito.</w:t>
            </w:r>
          </w:p>
          <w:p>
            <w:pPr>
              <w:spacing w:line="276" w:lineRule="auto"/>
              <w:ind w:left="-109"/>
              <w:jc w:val="both"/>
              <w:rPr>
                <w:rFonts w:asciiTheme="minorHAnsi" w:hAnsiTheme="minorHAnsi"/>
                <w:lang w:val="pt-BR"/>
              </w:rPr>
            </w:pPr>
          </w:p>
          <w:p>
            <w:pPr>
              <w:spacing w:line="276" w:lineRule="auto"/>
              <w:ind w:left="-109"/>
              <w:jc w:val="both"/>
              <w:rPr>
                <w:rFonts w:asciiTheme="minorHAnsi" w:hAnsiTheme="minorHAnsi"/>
                <w:lang w:val="pt-BR"/>
              </w:rPr>
            </w:pPr>
          </w:p>
          <w:p>
            <w:pPr>
              <w:spacing w:line="276" w:lineRule="auto"/>
              <w:ind w:left="-109"/>
              <w:jc w:val="both"/>
              <w:rPr>
                <w:rFonts w:asciiTheme="minorHAnsi" w:hAnsiTheme="minorHAnsi"/>
                <w:b/>
                <w:lang w:val="pt-BR"/>
              </w:rPr>
            </w:pPr>
            <w:r>
              <w:rPr>
                <w:rFonts w:asciiTheme="minorHAnsi" w:hAnsiTheme="minorHAnsi"/>
                <w:b/>
                <w:lang w:val="pt-BR"/>
              </w:rPr>
              <w:t>CLÁUSULA 6ª - DENÚNCIA</w:t>
            </w:r>
          </w:p>
          <w:p>
            <w:pPr>
              <w:spacing w:line="276" w:lineRule="auto"/>
              <w:ind w:left="-109"/>
              <w:jc w:val="both"/>
              <w:rPr>
                <w:rFonts w:asciiTheme="minorHAnsi" w:hAnsiTheme="minorHAnsi"/>
                <w:lang w:val="pt-BR"/>
              </w:rPr>
            </w:pPr>
            <w:r>
              <w:rPr>
                <w:rFonts w:asciiTheme="minorHAnsi" w:hAnsiTheme="minorHAnsi"/>
                <w:lang w:val="pt-BR"/>
              </w:rPr>
              <w:t>Este Acordo de Cooperação poderá ser denunciado e/ou rescindido por quaisquer dos convenentes, desde que aquele que assim o desejar comunique ao outro, por escrito, com antecedência mínima de trinta dias. As atividades em andamento por força de Termo Aditivo previamente firmado não serão prejudicadas devendo, consequentemente, ser concluídas ainda que ocorra denúncia por um dos convenentes.</w:t>
            </w:r>
          </w:p>
          <w:p>
            <w:pPr>
              <w:spacing w:line="276" w:lineRule="auto"/>
              <w:ind w:left="-109"/>
              <w:jc w:val="both"/>
              <w:rPr>
                <w:rFonts w:asciiTheme="minorHAnsi" w:hAnsiTheme="minorHAnsi"/>
                <w:lang w:val="pt-BR"/>
              </w:rPr>
            </w:pPr>
          </w:p>
          <w:p>
            <w:pPr>
              <w:spacing w:line="276" w:lineRule="auto"/>
              <w:ind w:left="-109"/>
              <w:jc w:val="both"/>
              <w:rPr>
                <w:rFonts w:asciiTheme="minorHAnsi" w:hAnsiTheme="minorHAnsi"/>
                <w:lang w:val="pt-BR"/>
              </w:rPr>
            </w:pPr>
          </w:p>
          <w:p>
            <w:pPr>
              <w:spacing w:line="276" w:lineRule="auto"/>
              <w:ind w:left="-109"/>
              <w:jc w:val="both"/>
              <w:rPr>
                <w:rFonts w:asciiTheme="minorHAnsi" w:hAnsiTheme="minorHAnsi"/>
                <w:b/>
                <w:lang w:val="pt-BR"/>
              </w:rPr>
            </w:pPr>
            <w:r>
              <w:rPr>
                <w:rFonts w:asciiTheme="minorHAnsi" w:hAnsiTheme="minorHAnsi"/>
                <w:b/>
                <w:lang w:val="pt-BR"/>
              </w:rPr>
              <w:t>CLÁUSULA 7ª - FORO</w:t>
            </w:r>
          </w:p>
          <w:p>
            <w:pPr>
              <w:spacing w:line="276" w:lineRule="auto"/>
              <w:ind w:left="-109"/>
              <w:jc w:val="both"/>
              <w:rPr>
                <w:rFonts w:asciiTheme="minorHAnsi" w:hAnsiTheme="minorHAnsi"/>
                <w:lang w:val="pt-BR"/>
              </w:rPr>
            </w:pPr>
            <w:r>
              <w:rPr>
                <w:rFonts w:asciiTheme="minorHAnsi" w:hAnsiTheme="minorHAnsi"/>
                <w:lang w:val="pt-BR"/>
              </w:rPr>
              <w:t>Os convenentes de comum acordo irão procurar dirimir quaisquer dúvidas ou controvérsias decorrentes do presente acordo através de negociação consensual. Na impossibilidade desta, buscar-se-á a negociação através da via arbitral. A UFSB escolherá um árbitro, ................. escolherá um segundo e o terceiro será ser escolhido de comum acordo.</w:t>
            </w:r>
          </w:p>
          <w:p>
            <w:pPr>
              <w:pStyle w:val="12"/>
              <w:spacing w:line="276" w:lineRule="auto"/>
              <w:ind w:left="-109"/>
              <w:rPr>
                <w:rFonts w:asciiTheme="minorHAnsi" w:hAnsiTheme="minorHAnsi"/>
                <w:sz w:val="20"/>
              </w:rPr>
            </w:pPr>
          </w:p>
          <w:p>
            <w:pPr>
              <w:spacing w:line="276" w:lineRule="auto"/>
              <w:ind w:left="-109"/>
              <w:jc w:val="both"/>
              <w:rPr>
                <w:rFonts w:asciiTheme="minorHAnsi" w:hAnsiTheme="minorHAnsi"/>
                <w:lang w:val="pt-BR"/>
              </w:rPr>
            </w:pPr>
          </w:p>
          <w:p>
            <w:pPr>
              <w:spacing w:line="276" w:lineRule="auto"/>
              <w:ind w:left="-109"/>
              <w:jc w:val="both"/>
              <w:rPr>
                <w:rFonts w:asciiTheme="minorHAnsi" w:hAnsiTheme="minorHAnsi"/>
                <w:lang w:val="pt-BR"/>
              </w:rPr>
            </w:pPr>
            <w:r>
              <w:rPr>
                <w:rFonts w:asciiTheme="minorHAnsi" w:hAnsiTheme="minorHAnsi"/>
                <w:lang w:val="pt-BR"/>
              </w:rPr>
              <w:t>Lido este instrumento, as partes cientes do conteúdo e alcance de cada uma de suas cláusulas, indicam que não há dolo, má fé, ou qualquer outro motivo que vicie sua celebração, assinando o presente Acordo em duas vias, com mesmo conteúdo e validade.</w:t>
            </w:r>
          </w:p>
          <w:p>
            <w:pPr>
              <w:spacing w:line="276" w:lineRule="auto"/>
              <w:ind w:left="-109"/>
              <w:jc w:val="both"/>
              <w:rPr>
                <w:rFonts w:asciiTheme="minorHAnsi" w:hAnsiTheme="minorHAnsi"/>
                <w:lang w:val="pt-BR"/>
              </w:rPr>
            </w:pPr>
          </w:p>
          <w:p>
            <w:pPr>
              <w:spacing w:line="276" w:lineRule="auto"/>
              <w:ind w:left="-109"/>
              <w:jc w:val="both"/>
              <w:rPr>
                <w:rFonts w:asciiTheme="minorHAnsi" w:hAnsiTheme="minorHAnsi"/>
                <w:lang w:val="pt-BR"/>
              </w:rPr>
            </w:pPr>
          </w:p>
          <w:p>
            <w:pPr>
              <w:spacing w:line="276" w:lineRule="auto"/>
              <w:ind w:left="-109"/>
              <w:jc w:val="center"/>
              <w:rPr>
                <w:rFonts w:asciiTheme="minorHAnsi" w:hAnsiTheme="minorHAnsi"/>
                <w:lang w:val="pt-BR"/>
              </w:rPr>
            </w:pPr>
            <w:r>
              <w:rPr>
                <w:rFonts w:asciiTheme="minorHAnsi" w:hAnsiTheme="minorHAnsi"/>
                <w:lang w:val="pt-BR"/>
              </w:rPr>
              <w:t>Data: …...................................</w:t>
            </w:r>
          </w:p>
          <w:p>
            <w:pPr>
              <w:spacing w:line="276" w:lineRule="auto"/>
              <w:ind w:left="-109"/>
              <w:jc w:val="both"/>
              <w:rPr>
                <w:rFonts w:eastAsia="Arial Unicode MS" w:cs="Microsoft Sans Serif" w:asciiTheme="minorHAnsi" w:hAnsiTheme="minorHAnsi"/>
                <w:lang w:val="pt-BR"/>
              </w:rPr>
            </w:pPr>
          </w:p>
          <w:p>
            <w:pPr>
              <w:spacing w:line="276" w:lineRule="auto"/>
              <w:ind w:left="-109"/>
              <w:jc w:val="both"/>
              <w:rPr>
                <w:rFonts w:eastAsia="Arial Unicode MS" w:cs="Microsoft Sans Serif" w:asciiTheme="minorHAnsi" w:hAnsiTheme="minorHAnsi"/>
                <w:lang w:val="pt-BR"/>
              </w:rPr>
            </w:pPr>
          </w:p>
          <w:p>
            <w:pPr>
              <w:spacing w:line="276" w:lineRule="auto"/>
              <w:ind w:left="-109"/>
              <w:jc w:val="both"/>
              <w:rPr>
                <w:rFonts w:eastAsia="Arial Unicode MS" w:cs="Microsoft Sans Serif" w:asciiTheme="minorHAnsi" w:hAnsiTheme="minorHAnsi"/>
                <w:lang w:val="pt-BR"/>
              </w:rPr>
            </w:pPr>
          </w:p>
          <w:p>
            <w:pPr>
              <w:spacing w:line="276" w:lineRule="auto"/>
              <w:ind w:left="-109"/>
              <w:jc w:val="both"/>
              <w:rPr>
                <w:rFonts w:eastAsia="Arial Unicode MS" w:cs="Microsoft Sans Serif" w:asciiTheme="minorHAnsi" w:hAnsiTheme="minorHAnsi"/>
                <w:lang w:val="pt-BR"/>
              </w:rPr>
            </w:pPr>
          </w:p>
          <w:p>
            <w:pPr>
              <w:spacing w:line="276" w:lineRule="auto"/>
              <w:ind w:left="-109"/>
              <w:jc w:val="both"/>
              <w:rPr>
                <w:rFonts w:eastAsia="Arial Unicode MS" w:cs="Microsoft Sans Serif" w:asciiTheme="minorHAnsi" w:hAnsiTheme="minorHAnsi"/>
                <w:lang w:val="pt-BR"/>
              </w:rPr>
            </w:pPr>
          </w:p>
          <w:p>
            <w:pPr>
              <w:spacing w:line="276" w:lineRule="auto"/>
              <w:ind w:left="-109"/>
              <w:jc w:val="center"/>
              <w:rPr>
                <w:rFonts w:eastAsia="Arial Unicode MS" w:cs="Microsoft Sans Serif" w:asciiTheme="minorHAnsi" w:hAnsiTheme="minorHAnsi"/>
                <w:b/>
                <w:lang w:val="pt-BR"/>
              </w:rPr>
            </w:pPr>
            <w:r>
              <w:rPr>
                <w:rFonts w:eastAsia="Arial Unicode MS" w:cs="Microsoft Sans Serif" w:asciiTheme="minorHAnsi" w:hAnsiTheme="minorHAnsi"/>
                <w:b/>
                <w:lang w:val="pt-BR"/>
              </w:rPr>
              <w:t>PROFA. DRA. JOANA ANGÉLICA GUIMARÃES DA LUZ</w:t>
            </w:r>
          </w:p>
          <w:p>
            <w:pPr>
              <w:spacing w:line="276" w:lineRule="auto"/>
              <w:ind w:left="-109"/>
              <w:jc w:val="center"/>
              <w:rPr>
                <w:rFonts w:eastAsia="Arial Unicode MS" w:cs="Microsoft Sans Serif" w:asciiTheme="minorHAnsi" w:hAnsiTheme="minorHAnsi"/>
                <w:lang w:val="pt-BR"/>
              </w:rPr>
            </w:pPr>
            <w:r>
              <w:rPr>
                <w:rFonts w:eastAsia="Arial Unicode MS" w:cs="Microsoft Sans Serif" w:asciiTheme="minorHAnsi" w:hAnsiTheme="minorHAnsi"/>
                <w:lang w:val="pt-BR"/>
              </w:rPr>
              <w:t>Reitora da UFSB</w:t>
            </w:r>
          </w:p>
          <w:p>
            <w:pPr>
              <w:spacing w:line="276" w:lineRule="auto"/>
              <w:ind w:left="-109"/>
              <w:rPr>
                <w:rFonts w:asciiTheme="minorHAnsi" w:hAnsiTheme="minorHAnsi"/>
                <w:lang w:val="pt-BR"/>
              </w:rPr>
            </w:pPr>
          </w:p>
          <w:p>
            <w:pPr>
              <w:spacing w:line="276" w:lineRule="auto"/>
              <w:ind w:left="-109"/>
              <w:rPr>
                <w:rFonts w:asciiTheme="minorHAnsi" w:hAnsiTheme="minorHAnsi"/>
                <w:lang w:val="pt-BR"/>
              </w:rPr>
            </w:pPr>
          </w:p>
          <w:p>
            <w:pPr>
              <w:spacing w:line="276" w:lineRule="auto"/>
              <w:ind w:left="-109"/>
              <w:rPr>
                <w:rFonts w:asciiTheme="minorHAnsi" w:hAnsiTheme="minorHAnsi"/>
                <w:lang w:val="pt-BR"/>
              </w:rPr>
            </w:pPr>
          </w:p>
          <w:p>
            <w:pPr>
              <w:spacing w:line="276" w:lineRule="auto"/>
              <w:ind w:left="-109"/>
              <w:rPr>
                <w:rFonts w:asciiTheme="minorHAnsi" w:hAnsiTheme="minorHAnsi"/>
                <w:lang w:val="pt-BR"/>
              </w:rPr>
            </w:pPr>
          </w:p>
          <w:p>
            <w:pPr>
              <w:spacing w:before="240" w:after="240" w:line="276" w:lineRule="auto"/>
              <w:ind w:left="468"/>
              <w:rPr>
                <w:rFonts w:asciiTheme="minorHAnsi" w:hAnsiTheme="minorHAnsi"/>
                <w:lang w:val="pt-BR"/>
              </w:rPr>
            </w:pPr>
          </w:p>
        </w:tc>
      </w:tr>
    </w:tbl>
    <w:p/>
    <w:sectPr>
      <w:footerReference r:id="rId5" w:type="default"/>
      <w:pgSz w:w="11906" w:h="16838"/>
      <w:pgMar w:top="1417" w:right="1701" w:bottom="1417"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Arial Unicode MS">
    <w:altName w:val="Arial"/>
    <w:panose1 w:val="020B0604020202020204"/>
    <w:charset w:val="00"/>
    <w:family w:val="roman"/>
    <w:pitch w:val="default"/>
    <w:sig w:usb0="00000000" w:usb1="00000000" w:usb2="00000000" w:usb3="00000000" w:csb0="00000001" w:csb1="00000000"/>
  </w:font>
  <w:font w:name="Microsoft Sans Serif">
    <w:panose1 w:val="020B0604020202020204"/>
    <w:charset w:val="00"/>
    <w:family w:val="swiss"/>
    <w:pitch w:val="default"/>
    <w:sig w:usb0="E1002AFF" w:usb1="C0000002" w:usb2="00000008" w:usb3="00000000" w:csb0="200101FF" w:csb1="2028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4"/>
      <w:tblpPr w:leftFromText="187" w:rightFromText="187" w:vertAnchor="text" w:tblpY="1"/>
      <w:tblW w:w="5000" w:type="pct"/>
      <w:tblInd w:w="0" w:type="dxa"/>
      <w:tblLayout w:type="autofit"/>
      <w:tblCellMar>
        <w:top w:w="0" w:type="dxa"/>
        <w:left w:w="108" w:type="dxa"/>
        <w:bottom w:w="0" w:type="dxa"/>
        <w:right w:w="108" w:type="dxa"/>
      </w:tblCellMar>
    </w:tblPr>
    <w:tblGrid>
      <w:gridCol w:w="3924"/>
      <w:gridCol w:w="872"/>
      <w:gridCol w:w="3924"/>
    </w:tblGrid>
    <w:tr>
      <w:tblPrEx>
        <w:tblCellMar>
          <w:top w:w="0" w:type="dxa"/>
          <w:left w:w="108" w:type="dxa"/>
          <w:bottom w:w="0" w:type="dxa"/>
          <w:right w:w="108" w:type="dxa"/>
        </w:tblCellMar>
      </w:tblPrEx>
      <w:trPr>
        <w:trHeight w:val="151" w:hRule="atLeast"/>
      </w:trPr>
      <w:tc>
        <w:tcPr>
          <w:tcW w:w="2250" w:type="pct"/>
          <w:tcBorders>
            <w:bottom w:val="single" w:color="4F81BD" w:themeColor="accent1" w:sz="4" w:space="0"/>
          </w:tcBorders>
        </w:tcPr>
        <w:p>
          <w:pPr>
            <w:pStyle w:val="6"/>
            <w:rPr>
              <w:rFonts w:asciiTheme="majorHAnsi" w:hAnsiTheme="majorHAnsi" w:eastAsiaTheme="majorEastAsia" w:cstheme="majorBidi"/>
              <w:b/>
              <w:bCs/>
            </w:rPr>
          </w:pPr>
        </w:p>
      </w:tc>
      <w:tc>
        <w:tcPr>
          <w:tcW w:w="500" w:type="pct"/>
          <w:vMerge w:val="restart"/>
          <w:noWrap/>
          <w:vAlign w:val="center"/>
        </w:tcPr>
        <w:p>
          <w:pPr>
            <w:pStyle w:val="18"/>
            <w:jc w:val="center"/>
            <w:rPr>
              <w:color w:val="808080" w:themeColor="text1" w:themeTint="80"/>
              <w:sz w:val="18"/>
              <w:szCs w:val="18"/>
              <w14:textFill>
                <w14:solidFill>
                  <w14:schemeClr w14:val="tx1">
                    <w14:lumMod w14:val="50000"/>
                    <w14:lumOff w14:val="50000"/>
                  </w14:schemeClr>
                </w14:solidFill>
              </w14:textFill>
            </w:rPr>
          </w:pPr>
          <w:r>
            <w:rPr>
              <w:color w:val="808080" w:themeColor="text1" w:themeTint="80"/>
              <w:sz w:val="18"/>
              <w:szCs w:val="18"/>
              <w14:textFill>
                <w14:solidFill>
                  <w14:schemeClr w14:val="tx1">
                    <w14:lumMod w14:val="50000"/>
                    <w14:lumOff w14:val="50000"/>
                  </w14:schemeClr>
                </w14:solidFill>
              </w14:textFill>
            </w:rPr>
            <w:fldChar w:fldCharType="begin"/>
          </w:r>
          <w:r>
            <w:rPr>
              <w:color w:val="808080" w:themeColor="text1" w:themeTint="80"/>
              <w:sz w:val="18"/>
              <w:szCs w:val="18"/>
              <w14:textFill>
                <w14:solidFill>
                  <w14:schemeClr w14:val="tx1">
                    <w14:lumMod w14:val="50000"/>
                    <w14:lumOff w14:val="50000"/>
                  </w14:schemeClr>
                </w14:solidFill>
              </w14:textFill>
            </w:rPr>
            <w:instrText xml:space="preserve"> PAGE  \* MERGEFORMAT </w:instrText>
          </w:r>
          <w:r>
            <w:rPr>
              <w:color w:val="808080" w:themeColor="text1" w:themeTint="80"/>
              <w:sz w:val="18"/>
              <w:szCs w:val="18"/>
              <w14:textFill>
                <w14:solidFill>
                  <w14:schemeClr w14:val="tx1">
                    <w14:lumMod w14:val="50000"/>
                    <w14:lumOff w14:val="50000"/>
                  </w14:schemeClr>
                </w14:solidFill>
              </w14:textFill>
            </w:rPr>
            <w:fldChar w:fldCharType="separate"/>
          </w:r>
          <w:r>
            <w:rPr>
              <w:b/>
              <w:color w:val="808080" w:themeColor="text1" w:themeTint="80"/>
              <w:sz w:val="18"/>
              <w:szCs w:val="18"/>
              <w14:textFill>
                <w14:solidFill>
                  <w14:schemeClr w14:val="tx1">
                    <w14:lumMod w14:val="50000"/>
                    <w14:lumOff w14:val="50000"/>
                  </w14:schemeClr>
                </w14:solidFill>
              </w14:textFill>
            </w:rPr>
            <w:t>4</w:t>
          </w:r>
          <w:r>
            <w:rPr>
              <w:color w:val="808080" w:themeColor="text1" w:themeTint="80"/>
              <w:sz w:val="18"/>
              <w:szCs w:val="18"/>
              <w14:textFill>
                <w14:solidFill>
                  <w14:schemeClr w14:val="tx1">
                    <w14:lumMod w14:val="50000"/>
                    <w14:lumOff w14:val="50000"/>
                  </w14:schemeClr>
                </w14:solidFill>
              </w14:textFill>
            </w:rPr>
            <w:fldChar w:fldCharType="end"/>
          </w:r>
        </w:p>
      </w:tc>
      <w:tc>
        <w:tcPr>
          <w:tcW w:w="2250" w:type="pct"/>
          <w:tcBorders>
            <w:bottom w:val="single" w:color="4F81BD" w:themeColor="accent1" w:sz="4" w:space="0"/>
          </w:tcBorders>
        </w:tcPr>
        <w:p>
          <w:pPr>
            <w:pStyle w:val="6"/>
            <w:rPr>
              <w:rFonts w:asciiTheme="majorHAnsi" w:hAnsiTheme="majorHAnsi" w:eastAsiaTheme="majorEastAsia" w:cstheme="majorBidi"/>
              <w:b/>
              <w:bCs/>
            </w:rPr>
          </w:pPr>
        </w:p>
      </w:tc>
    </w:tr>
    <w:tr>
      <w:tblPrEx>
        <w:tblCellMar>
          <w:top w:w="0" w:type="dxa"/>
          <w:left w:w="108" w:type="dxa"/>
          <w:bottom w:w="0" w:type="dxa"/>
          <w:right w:w="108" w:type="dxa"/>
        </w:tblCellMar>
      </w:tblPrEx>
      <w:trPr>
        <w:trHeight w:val="150" w:hRule="atLeast"/>
      </w:trPr>
      <w:tc>
        <w:tcPr>
          <w:tcW w:w="2250" w:type="pct"/>
          <w:tcBorders>
            <w:top w:val="single" w:color="4F81BD" w:themeColor="accent1" w:sz="4" w:space="0"/>
          </w:tcBorders>
        </w:tcPr>
        <w:p>
          <w:pPr>
            <w:pStyle w:val="6"/>
            <w:rPr>
              <w:rFonts w:asciiTheme="majorHAnsi" w:hAnsiTheme="majorHAnsi" w:eastAsiaTheme="majorEastAsia" w:cstheme="majorBidi"/>
              <w:b/>
              <w:bCs/>
            </w:rPr>
          </w:pPr>
        </w:p>
      </w:tc>
      <w:tc>
        <w:tcPr>
          <w:tcW w:w="500" w:type="pct"/>
          <w:vMerge w:val="continue"/>
        </w:tcPr>
        <w:p>
          <w:pPr>
            <w:pStyle w:val="6"/>
            <w:jc w:val="center"/>
            <w:rPr>
              <w:rFonts w:asciiTheme="majorHAnsi" w:hAnsiTheme="majorHAnsi" w:eastAsiaTheme="majorEastAsia" w:cstheme="majorBidi"/>
              <w:b/>
              <w:bCs/>
            </w:rPr>
          </w:pPr>
        </w:p>
      </w:tc>
      <w:tc>
        <w:tcPr>
          <w:tcW w:w="2250" w:type="pct"/>
          <w:tcBorders>
            <w:top w:val="single" w:color="4F81BD" w:themeColor="accent1" w:sz="4" w:space="0"/>
          </w:tcBorders>
        </w:tcPr>
        <w:p>
          <w:pPr>
            <w:pStyle w:val="6"/>
            <w:rPr>
              <w:rFonts w:asciiTheme="majorHAnsi" w:hAnsiTheme="majorHAnsi" w:eastAsiaTheme="majorEastAsia" w:cstheme="majorBidi"/>
              <w:b/>
              <w:bCs/>
            </w:rPr>
          </w:pPr>
        </w:p>
      </w:tc>
    </w:tr>
  </w:tbl>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suff w:val="nothing"/>
      <w:lvlText w:val=""/>
      <w:lvlJc w:val="left"/>
      <w:pPr>
        <w:tabs>
          <w:tab w:val="left" w:pos="0"/>
        </w:tabs>
        <w:ind w:left="432" w:hanging="432"/>
      </w:pPr>
    </w:lvl>
    <w:lvl w:ilvl="1" w:tentative="0">
      <w:start w:val="1"/>
      <w:numFmt w:val="none"/>
      <w:suff w:val="nothing"/>
      <w:lvlText w:val=""/>
      <w:lvlJc w:val="left"/>
      <w:pPr>
        <w:tabs>
          <w:tab w:val="left" w:pos="0"/>
        </w:tabs>
        <w:ind w:left="576" w:hanging="576"/>
      </w:pPr>
    </w:lvl>
    <w:lvl w:ilvl="2" w:tentative="0">
      <w:start w:val="1"/>
      <w:numFmt w:val="none"/>
      <w:suff w:val="nothing"/>
      <w:lvlText w:val=""/>
      <w:lvlJc w:val="left"/>
      <w:pPr>
        <w:tabs>
          <w:tab w:val="left" w:pos="0"/>
        </w:tabs>
        <w:ind w:left="720" w:hanging="720"/>
      </w:pPr>
    </w:lvl>
    <w:lvl w:ilvl="3" w:tentative="0">
      <w:start w:val="1"/>
      <w:numFmt w:val="none"/>
      <w:suff w:val="nothing"/>
      <w:lvlText w:val=""/>
      <w:lvlJc w:val="left"/>
      <w:pPr>
        <w:tabs>
          <w:tab w:val="left" w:pos="0"/>
        </w:tabs>
        <w:ind w:left="864" w:hanging="864"/>
      </w:pPr>
    </w:lvl>
    <w:lvl w:ilvl="4" w:tentative="0">
      <w:start w:val="1"/>
      <w:numFmt w:val="none"/>
      <w:suff w:val="nothing"/>
      <w:lvlText w:val=""/>
      <w:lvlJc w:val="left"/>
      <w:pPr>
        <w:tabs>
          <w:tab w:val="left" w:pos="0"/>
        </w:tabs>
        <w:ind w:left="1008" w:hanging="1008"/>
      </w:pPr>
    </w:lvl>
    <w:lvl w:ilvl="5" w:tentative="0">
      <w:start w:val="1"/>
      <w:numFmt w:val="none"/>
      <w:suff w:val="nothing"/>
      <w:lvlText w:val=""/>
      <w:lvlJc w:val="left"/>
      <w:pPr>
        <w:tabs>
          <w:tab w:val="left" w:pos="0"/>
        </w:tabs>
        <w:ind w:left="1152" w:hanging="1152"/>
      </w:pPr>
    </w:lvl>
    <w:lvl w:ilvl="6" w:tentative="0">
      <w:start w:val="1"/>
      <w:numFmt w:val="none"/>
      <w:suff w:val="nothing"/>
      <w:lvlText w:val=""/>
      <w:lvlJc w:val="left"/>
      <w:pPr>
        <w:tabs>
          <w:tab w:val="left" w:pos="0"/>
        </w:tabs>
        <w:ind w:left="1296" w:hanging="1296"/>
      </w:pPr>
    </w:lvl>
    <w:lvl w:ilvl="7" w:tentative="0">
      <w:start w:val="1"/>
      <w:numFmt w:val="none"/>
      <w:suff w:val="nothing"/>
      <w:lvlText w:val=""/>
      <w:lvlJc w:val="left"/>
      <w:pPr>
        <w:tabs>
          <w:tab w:val="left" w:pos="0"/>
        </w:tabs>
        <w:ind w:left="1440" w:hanging="1440"/>
      </w:pPr>
    </w:lvl>
    <w:lvl w:ilvl="8" w:tentative="0">
      <w:start w:val="1"/>
      <w:numFmt w:val="none"/>
      <w:suff w:val="nothing"/>
      <w:lvlText w:val=""/>
      <w:lvlJc w:val="left"/>
      <w:pPr>
        <w:tabs>
          <w:tab w:val="left" w:pos="0"/>
        </w:tabs>
        <w:ind w:left="1584" w:hanging="1584"/>
      </w:pPr>
    </w:lvl>
  </w:abstractNum>
  <w:abstractNum w:abstractNumId="1">
    <w:nsid w:val="00000003"/>
    <w:multiLevelType w:val="multilevel"/>
    <w:tmpl w:val="00000003"/>
    <w:lvl w:ilvl="0" w:tentative="0">
      <w:start w:val="1"/>
      <w:numFmt w:val="lowerLetter"/>
      <w:lvlText w:val="%1)"/>
      <w:lvlJc w:val="left"/>
      <w:pPr>
        <w:tabs>
          <w:tab w:val="left" w:pos="720"/>
        </w:tabs>
        <w:ind w:left="720" w:hanging="360"/>
      </w:pPr>
    </w:lvl>
    <w:lvl w:ilvl="1" w:tentative="0">
      <w:start w:val="1"/>
      <w:numFmt w:val="lowerLetter"/>
      <w:lvlText w:val="%2)"/>
      <w:lvlJc w:val="left"/>
      <w:pPr>
        <w:tabs>
          <w:tab w:val="left" w:pos="1080"/>
        </w:tabs>
        <w:ind w:left="1080" w:hanging="360"/>
      </w:pPr>
    </w:lvl>
    <w:lvl w:ilvl="2" w:tentative="0">
      <w:start w:val="1"/>
      <w:numFmt w:val="lowerLetter"/>
      <w:lvlText w:val="%3)"/>
      <w:lvlJc w:val="left"/>
      <w:pPr>
        <w:tabs>
          <w:tab w:val="left" w:pos="1440"/>
        </w:tabs>
        <w:ind w:left="1440" w:hanging="360"/>
      </w:pPr>
    </w:lvl>
    <w:lvl w:ilvl="3" w:tentative="0">
      <w:start w:val="1"/>
      <w:numFmt w:val="lowerLetter"/>
      <w:lvlText w:val="%4)"/>
      <w:lvlJc w:val="left"/>
      <w:pPr>
        <w:tabs>
          <w:tab w:val="left" w:pos="1800"/>
        </w:tabs>
        <w:ind w:left="1800" w:hanging="360"/>
      </w:pPr>
    </w:lvl>
    <w:lvl w:ilvl="4" w:tentative="0">
      <w:start w:val="1"/>
      <w:numFmt w:val="lowerLetter"/>
      <w:lvlText w:val="%5)"/>
      <w:lvlJc w:val="left"/>
      <w:pPr>
        <w:tabs>
          <w:tab w:val="left" w:pos="2160"/>
        </w:tabs>
        <w:ind w:left="2160" w:hanging="360"/>
      </w:pPr>
    </w:lvl>
    <w:lvl w:ilvl="5" w:tentative="0">
      <w:start w:val="1"/>
      <w:numFmt w:val="lowerLetter"/>
      <w:lvlText w:val="%6)"/>
      <w:lvlJc w:val="left"/>
      <w:pPr>
        <w:tabs>
          <w:tab w:val="left" w:pos="2520"/>
        </w:tabs>
        <w:ind w:left="2520" w:hanging="360"/>
      </w:pPr>
    </w:lvl>
    <w:lvl w:ilvl="6" w:tentative="0">
      <w:start w:val="1"/>
      <w:numFmt w:val="lowerLetter"/>
      <w:lvlText w:val="%7)"/>
      <w:lvlJc w:val="left"/>
      <w:pPr>
        <w:tabs>
          <w:tab w:val="left" w:pos="2880"/>
        </w:tabs>
        <w:ind w:left="2880" w:hanging="360"/>
      </w:pPr>
    </w:lvl>
    <w:lvl w:ilvl="7" w:tentative="0">
      <w:start w:val="1"/>
      <w:numFmt w:val="lowerLetter"/>
      <w:lvlText w:val="%8)"/>
      <w:lvlJc w:val="left"/>
      <w:pPr>
        <w:tabs>
          <w:tab w:val="left" w:pos="3240"/>
        </w:tabs>
        <w:ind w:left="3240" w:hanging="360"/>
      </w:pPr>
    </w:lvl>
    <w:lvl w:ilvl="8" w:tentative="0">
      <w:start w:val="1"/>
      <w:numFmt w:val="lowerLetter"/>
      <w:lvlText w:val="%9)"/>
      <w:lvlJc w:val="left"/>
      <w:pPr>
        <w:tabs>
          <w:tab w:val="left" w:pos="3600"/>
        </w:tabs>
        <w:ind w:left="3600" w:hanging="360"/>
      </w:pPr>
    </w:lvl>
  </w:abstractNum>
  <w:abstractNum w:abstractNumId="2">
    <w:nsid w:val="14C62840"/>
    <w:multiLevelType w:val="multilevel"/>
    <w:tmpl w:val="14C62840"/>
    <w:lvl w:ilvl="0" w:tentative="0">
      <w:start w:val="1"/>
      <w:numFmt w:val="lowerLetter"/>
      <w:lvlText w:val="%1)"/>
      <w:lvlJc w:val="left"/>
      <w:pPr>
        <w:ind w:left="2694" w:hanging="360"/>
      </w:pPr>
    </w:lvl>
    <w:lvl w:ilvl="1" w:tentative="0">
      <w:start w:val="1"/>
      <w:numFmt w:val="lowerLetter"/>
      <w:lvlText w:val="%2."/>
      <w:lvlJc w:val="left"/>
      <w:pPr>
        <w:ind w:left="3414" w:hanging="360"/>
      </w:pPr>
    </w:lvl>
    <w:lvl w:ilvl="2" w:tentative="0">
      <w:start w:val="1"/>
      <w:numFmt w:val="lowerRoman"/>
      <w:lvlText w:val="%3."/>
      <w:lvlJc w:val="right"/>
      <w:pPr>
        <w:ind w:left="4134" w:hanging="180"/>
      </w:pPr>
    </w:lvl>
    <w:lvl w:ilvl="3" w:tentative="0">
      <w:start w:val="1"/>
      <w:numFmt w:val="decimal"/>
      <w:lvlText w:val="%4."/>
      <w:lvlJc w:val="left"/>
      <w:pPr>
        <w:ind w:left="4854" w:hanging="360"/>
      </w:pPr>
    </w:lvl>
    <w:lvl w:ilvl="4" w:tentative="0">
      <w:start w:val="1"/>
      <w:numFmt w:val="lowerLetter"/>
      <w:lvlText w:val="%5."/>
      <w:lvlJc w:val="left"/>
      <w:pPr>
        <w:ind w:left="5574" w:hanging="360"/>
      </w:pPr>
    </w:lvl>
    <w:lvl w:ilvl="5" w:tentative="0">
      <w:start w:val="1"/>
      <w:numFmt w:val="lowerRoman"/>
      <w:lvlText w:val="%6."/>
      <w:lvlJc w:val="right"/>
      <w:pPr>
        <w:ind w:left="6294" w:hanging="180"/>
      </w:pPr>
    </w:lvl>
    <w:lvl w:ilvl="6" w:tentative="0">
      <w:start w:val="1"/>
      <w:numFmt w:val="decimal"/>
      <w:lvlText w:val="%7."/>
      <w:lvlJc w:val="left"/>
      <w:pPr>
        <w:ind w:left="7014" w:hanging="360"/>
      </w:pPr>
    </w:lvl>
    <w:lvl w:ilvl="7" w:tentative="0">
      <w:start w:val="1"/>
      <w:numFmt w:val="lowerLetter"/>
      <w:lvlText w:val="%8."/>
      <w:lvlJc w:val="left"/>
      <w:pPr>
        <w:ind w:left="7734" w:hanging="360"/>
      </w:pPr>
    </w:lvl>
    <w:lvl w:ilvl="8" w:tentative="0">
      <w:start w:val="1"/>
      <w:numFmt w:val="lowerRoman"/>
      <w:lvlText w:val="%9."/>
      <w:lvlJc w:val="right"/>
      <w:pPr>
        <w:ind w:left="8454" w:hanging="180"/>
      </w:pPr>
    </w:lvl>
  </w:abstractNum>
  <w:abstractNum w:abstractNumId="3">
    <w:nsid w:val="26571596"/>
    <w:multiLevelType w:val="multilevel"/>
    <w:tmpl w:val="26571596"/>
    <w:lvl w:ilvl="0" w:tentative="0">
      <w:start w:val="1"/>
      <w:numFmt w:val="lowerLetter"/>
      <w:lvlText w:val="%1)"/>
      <w:lvlJc w:val="left"/>
      <w:pPr>
        <w:tabs>
          <w:tab w:val="left" w:pos="720"/>
        </w:tabs>
        <w:ind w:left="720" w:hanging="360"/>
      </w:pPr>
    </w:lvl>
    <w:lvl w:ilvl="1" w:tentative="0">
      <w:start w:val="1"/>
      <w:numFmt w:val="lowerLetter"/>
      <w:lvlText w:val="%2)"/>
      <w:lvlJc w:val="left"/>
      <w:pPr>
        <w:tabs>
          <w:tab w:val="left" w:pos="1080"/>
        </w:tabs>
        <w:ind w:left="1080" w:hanging="360"/>
      </w:pPr>
    </w:lvl>
    <w:lvl w:ilvl="2" w:tentative="0">
      <w:start w:val="1"/>
      <w:numFmt w:val="lowerLetter"/>
      <w:lvlText w:val="%3)"/>
      <w:lvlJc w:val="left"/>
      <w:pPr>
        <w:tabs>
          <w:tab w:val="left" w:pos="1440"/>
        </w:tabs>
        <w:ind w:left="1440" w:hanging="360"/>
      </w:pPr>
    </w:lvl>
    <w:lvl w:ilvl="3" w:tentative="0">
      <w:start w:val="1"/>
      <w:numFmt w:val="lowerLetter"/>
      <w:lvlText w:val="%4)"/>
      <w:lvlJc w:val="left"/>
      <w:pPr>
        <w:tabs>
          <w:tab w:val="left" w:pos="1800"/>
        </w:tabs>
        <w:ind w:left="1800" w:hanging="360"/>
      </w:pPr>
    </w:lvl>
    <w:lvl w:ilvl="4" w:tentative="0">
      <w:start w:val="1"/>
      <w:numFmt w:val="lowerLetter"/>
      <w:lvlText w:val="%5)"/>
      <w:lvlJc w:val="left"/>
      <w:pPr>
        <w:tabs>
          <w:tab w:val="left" w:pos="2160"/>
        </w:tabs>
        <w:ind w:left="2160" w:hanging="360"/>
      </w:pPr>
    </w:lvl>
    <w:lvl w:ilvl="5" w:tentative="0">
      <w:start w:val="1"/>
      <w:numFmt w:val="lowerLetter"/>
      <w:lvlText w:val="%6)"/>
      <w:lvlJc w:val="left"/>
      <w:pPr>
        <w:tabs>
          <w:tab w:val="left" w:pos="2520"/>
        </w:tabs>
        <w:ind w:left="2520" w:hanging="360"/>
      </w:pPr>
    </w:lvl>
    <w:lvl w:ilvl="6" w:tentative="0">
      <w:start w:val="1"/>
      <w:numFmt w:val="lowerLetter"/>
      <w:lvlText w:val="%7)"/>
      <w:lvlJc w:val="left"/>
      <w:pPr>
        <w:tabs>
          <w:tab w:val="left" w:pos="2880"/>
        </w:tabs>
        <w:ind w:left="2880" w:hanging="360"/>
      </w:pPr>
    </w:lvl>
    <w:lvl w:ilvl="7" w:tentative="0">
      <w:start w:val="1"/>
      <w:numFmt w:val="lowerLetter"/>
      <w:lvlText w:val="%8)"/>
      <w:lvlJc w:val="left"/>
      <w:pPr>
        <w:tabs>
          <w:tab w:val="left" w:pos="3240"/>
        </w:tabs>
        <w:ind w:left="3240" w:hanging="360"/>
      </w:pPr>
    </w:lvl>
    <w:lvl w:ilvl="8" w:tentative="0">
      <w:start w:val="1"/>
      <w:numFmt w:val="lowerLetter"/>
      <w:lvlText w:val="%9)"/>
      <w:lvlJc w:val="left"/>
      <w:pPr>
        <w:tabs>
          <w:tab w:val="left" w:pos="3600"/>
        </w:tabs>
        <w:ind w:left="3600" w:hanging="360"/>
      </w:pPr>
    </w:lvl>
  </w:abstractNum>
  <w:abstractNum w:abstractNumId="4">
    <w:nsid w:val="29CA7245"/>
    <w:multiLevelType w:val="multilevel"/>
    <w:tmpl w:val="29CA7245"/>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39162D57"/>
    <w:multiLevelType w:val="multilevel"/>
    <w:tmpl w:val="39162D57"/>
    <w:lvl w:ilvl="0" w:tentative="0">
      <w:start w:val="1"/>
      <w:numFmt w:val="lowerLetter"/>
      <w:lvlText w:val="%1)"/>
      <w:lvlJc w:val="left"/>
      <w:pPr>
        <w:ind w:left="2694" w:hanging="360"/>
      </w:pPr>
      <w:rPr>
        <w:rFonts w:hint="default"/>
      </w:rPr>
    </w:lvl>
    <w:lvl w:ilvl="1" w:tentative="0">
      <w:start w:val="1"/>
      <w:numFmt w:val="lowerLetter"/>
      <w:lvlText w:val="%2."/>
      <w:lvlJc w:val="left"/>
      <w:pPr>
        <w:ind w:left="3414" w:hanging="360"/>
      </w:pPr>
    </w:lvl>
    <w:lvl w:ilvl="2" w:tentative="0">
      <w:start w:val="1"/>
      <w:numFmt w:val="lowerRoman"/>
      <w:lvlText w:val="%3."/>
      <w:lvlJc w:val="right"/>
      <w:pPr>
        <w:ind w:left="4134" w:hanging="180"/>
      </w:pPr>
    </w:lvl>
    <w:lvl w:ilvl="3" w:tentative="0">
      <w:start w:val="1"/>
      <w:numFmt w:val="decimal"/>
      <w:lvlText w:val="%4."/>
      <w:lvlJc w:val="left"/>
      <w:pPr>
        <w:ind w:left="4854" w:hanging="360"/>
      </w:pPr>
    </w:lvl>
    <w:lvl w:ilvl="4" w:tentative="0">
      <w:start w:val="1"/>
      <w:numFmt w:val="lowerLetter"/>
      <w:lvlText w:val="%5."/>
      <w:lvlJc w:val="left"/>
      <w:pPr>
        <w:ind w:left="5574" w:hanging="360"/>
      </w:pPr>
    </w:lvl>
    <w:lvl w:ilvl="5" w:tentative="0">
      <w:start w:val="1"/>
      <w:numFmt w:val="lowerRoman"/>
      <w:lvlText w:val="%6."/>
      <w:lvlJc w:val="right"/>
      <w:pPr>
        <w:ind w:left="6294" w:hanging="180"/>
      </w:pPr>
    </w:lvl>
    <w:lvl w:ilvl="6" w:tentative="0">
      <w:start w:val="1"/>
      <w:numFmt w:val="decimal"/>
      <w:lvlText w:val="%7."/>
      <w:lvlJc w:val="left"/>
      <w:pPr>
        <w:ind w:left="7014" w:hanging="360"/>
      </w:pPr>
    </w:lvl>
    <w:lvl w:ilvl="7" w:tentative="0">
      <w:start w:val="1"/>
      <w:numFmt w:val="lowerLetter"/>
      <w:lvlText w:val="%8."/>
      <w:lvlJc w:val="left"/>
      <w:pPr>
        <w:ind w:left="7734" w:hanging="360"/>
      </w:pPr>
    </w:lvl>
    <w:lvl w:ilvl="8" w:tentative="0">
      <w:start w:val="1"/>
      <w:numFmt w:val="lowerRoman"/>
      <w:lvlText w:val="%9."/>
      <w:lvlJc w:val="right"/>
      <w:pPr>
        <w:ind w:left="8454" w:hanging="180"/>
      </w:pPr>
    </w:lvl>
  </w:abstractNum>
  <w:abstractNum w:abstractNumId="6">
    <w:nsid w:val="587E12F0"/>
    <w:multiLevelType w:val="multilevel"/>
    <w:tmpl w:val="587E12F0"/>
    <w:lvl w:ilvl="0" w:tentative="0">
      <w:start w:val="1"/>
      <w:numFmt w:val="lowerLetter"/>
      <w:lvlText w:val="%1)"/>
      <w:lvlJc w:val="left"/>
      <w:pPr>
        <w:ind w:left="753" w:hanging="360"/>
      </w:pPr>
    </w:lvl>
    <w:lvl w:ilvl="1" w:tentative="0">
      <w:start w:val="1"/>
      <w:numFmt w:val="lowerLetter"/>
      <w:lvlText w:val="%2."/>
      <w:lvlJc w:val="left"/>
      <w:pPr>
        <w:ind w:left="1473" w:hanging="360"/>
      </w:pPr>
    </w:lvl>
    <w:lvl w:ilvl="2" w:tentative="0">
      <w:start w:val="1"/>
      <w:numFmt w:val="lowerRoman"/>
      <w:lvlText w:val="%3."/>
      <w:lvlJc w:val="right"/>
      <w:pPr>
        <w:ind w:left="2193" w:hanging="180"/>
      </w:pPr>
    </w:lvl>
    <w:lvl w:ilvl="3" w:tentative="0">
      <w:start w:val="1"/>
      <w:numFmt w:val="decimal"/>
      <w:lvlText w:val="%4."/>
      <w:lvlJc w:val="left"/>
      <w:pPr>
        <w:ind w:left="2913" w:hanging="360"/>
      </w:pPr>
    </w:lvl>
    <w:lvl w:ilvl="4" w:tentative="0">
      <w:start w:val="1"/>
      <w:numFmt w:val="lowerLetter"/>
      <w:lvlText w:val="%5."/>
      <w:lvlJc w:val="left"/>
      <w:pPr>
        <w:ind w:left="3633" w:hanging="360"/>
      </w:pPr>
    </w:lvl>
    <w:lvl w:ilvl="5" w:tentative="0">
      <w:start w:val="1"/>
      <w:numFmt w:val="lowerRoman"/>
      <w:lvlText w:val="%6."/>
      <w:lvlJc w:val="right"/>
      <w:pPr>
        <w:ind w:left="4353" w:hanging="180"/>
      </w:pPr>
    </w:lvl>
    <w:lvl w:ilvl="6" w:tentative="0">
      <w:start w:val="1"/>
      <w:numFmt w:val="decimal"/>
      <w:lvlText w:val="%7."/>
      <w:lvlJc w:val="left"/>
      <w:pPr>
        <w:ind w:left="5073" w:hanging="360"/>
      </w:pPr>
    </w:lvl>
    <w:lvl w:ilvl="7" w:tentative="0">
      <w:start w:val="1"/>
      <w:numFmt w:val="lowerLetter"/>
      <w:lvlText w:val="%8."/>
      <w:lvlJc w:val="left"/>
      <w:pPr>
        <w:ind w:left="5793" w:hanging="360"/>
      </w:pPr>
    </w:lvl>
    <w:lvl w:ilvl="8" w:tentative="0">
      <w:start w:val="1"/>
      <w:numFmt w:val="lowerRoman"/>
      <w:lvlText w:val="%9."/>
      <w:lvlJc w:val="right"/>
      <w:pPr>
        <w:ind w:left="6513" w:hanging="180"/>
      </w:pPr>
    </w:lvl>
  </w:abstractNum>
  <w:abstractNum w:abstractNumId="7">
    <w:nsid w:val="6E2E3A8F"/>
    <w:multiLevelType w:val="multilevel"/>
    <w:tmpl w:val="6E2E3A8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6"/>
  </w:num>
  <w:num w:numId="3">
    <w:abstractNumId w:val="4"/>
  </w:num>
  <w:num w:numId="4">
    <w:abstractNumId w:val="2"/>
  </w:num>
  <w:num w:numId="5">
    <w:abstractNumId w:val="7"/>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9"/>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850"/>
    <w:rsid w:val="00003766"/>
    <w:rsid w:val="00030197"/>
    <w:rsid w:val="00053B18"/>
    <w:rsid w:val="00053FC9"/>
    <w:rsid w:val="000675E4"/>
    <w:rsid w:val="00074A4D"/>
    <w:rsid w:val="001270E5"/>
    <w:rsid w:val="001804C7"/>
    <w:rsid w:val="001920FB"/>
    <w:rsid w:val="001A0850"/>
    <w:rsid w:val="001B1978"/>
    <w:rsid w:val="0021354D"/>
    <w:rsid w:val="00215337"/>
    <w:rsid w:val="00222080"/>
    <w:rsid w:val="00250153"/>
    <w:rsid w:val="002E4A74"/>
    <w:rsid w:val="002F5483"/>
    <w:rsid w:val="00315CAA"/>
    <w:rsid w:val="003215E8"/>
    <w:rsid w:val="003232E9"/>
    <w:rsid w:val="00345C17"/>
    <w:rsid w:val="00350354"/>
    <w:rsid w:val="0035339C"/>
    <w:rsid w:val="00356EB6"/>
    <w:rsid w:val="00386610"/>
    <w:rsid w:val="00391EFD"/>
    <w:rsid w:val="0039691B"/>
    <w:rsid w:val="003C195E"/>
    <w:rsid w:val="003E7E54"/>
    <w:rsid w:val="003F5B70"/>
    <w:rsid w:val="00412444"/>
    <w:rsid w:val="00427020"/>
    <w:rsid w:val="00452A62"/>
    <w:rsid w:val="00465FF6"/>
    <w:rsid w:val="00480FA3"/>
    <w:rsid w:val="004A737B"/>
    <w:rsid w:val="004F3D39"/>
    <w:rsid w:val="00560A7F"/>
    <w:rsid w:val="00586EEE"/>
    <w:rsid w:val="005A2822"/>
    <w:rsid w:val="005E3CF7"/>
    <w:rsid w:val="005E7B5D"/>
    <w:rsid w:val="005F73B1"/>
    <w:rsid w:val="0060370F"/>
    <w:rsid w:val="00624B75"/>
    <w:rsid w:val="0062757E"/>
    <w:rsid w:val="00654882"/>
    <w:rsid w:val="0066412A"/>
    <w:rsid w:val="006B2C0B"/>
    <w:rsid w:val="006E0B7E"/>
    <w:rsid w:val="006E6190"/>
    <w:rsid w:val="006F2594"/>
    <w:rsid w:val="00707979"/>
    <w:rsid w:val="00743D2A"/>
    <w:rsid w:val="00775D54"/>
    <w:rsid w:val="007830E9"/>
    <w:rsid w:val="007A3765"/>
    <w:rsid w:val="007C6928"/>
    <w:rsid w:val="007E205C"/>
    <w:rsid w:val="00805710"/>
    <w:rsid w:val="00827DC6"/>
    <w:rsid w:val="00890C49"/>
    <w:rsid w:val="0096524E"/>
    <w:rsid w:val="00A14F7C"/>
    <w:rsid w:val="00A266F0"/>
    <w:rsid w:val="00A33C0F"/>
    <w:rsid w:val="00A522F8"/>
    <w:rsid w:val="00A546B5"/>
    <w:rsid w:val="00A561AC"/>
    <w:rsid w:val="00A6551F"/>
    <w:rsid w:val="00AB6EC1"/>
    <w:rsid w:val="00AD4D5A"/>
    <w:rsid w:val="00AE7DFD"/>
    <w:rsid w:val="00AF28B6"/>
    <w:rsid w:val="00B1208F"/>
    <w:rsid w:val="00B610FF"/>
    <w:rsid w:val="00B77AF3"/>
    <w:rsid w:val="00B97B65"/>
    <w:rsid w:val="00BA7F5E"/>
    <w:rsid w:val="00BB6AD3"/>
    <w:rsid w:val="00BD6496"/>
    <w:rsid w:val="00C452A1"/>
    <w:rsid w:val="00C45883"/>
    <w:rsid w:val="00C801CA"/>
    <w:rsid w:val="00C91E78"/>
    <w:rsid w:val="00CA08B3"/>
    <w:rsid w:val="00CA44CE"/>
    <w:rsid w:val="00CC4A96"/>
    <w:rsid w:val="00D20A27"/>
    <w:rsid w:val="00D26614"/>
    <w:rsid w:val="00D3553B"/>
    <w:rsid w:val="00D54305"/>
    <w:rsid w:val="00D83957"/>
    <w:rsid w:val="00D8785E"/>
    <w:rsid w:val="00DA06B3"/>
    <w:rsid w:val="00DE383A"/>
    <w:rsid w:val="00DF6DE2"/>
    <w:rsid w:val="00E07B94"/>
    <w:rsid w:val="00E11BAD"/>
    <w:rsid w:val="00E433C3"/>
    <w:rsid w:val="00E646B0"/>
    <w:rsid w:val="00E70704"/>
    <w:rsid w:val="00E8460D"/>
    <w:rsid w:val="00F3389C"/>
    <w:rsid w:val="00F3517D"/>
    <w:rsid w:val="00F36313"/>
    <w:rsid w:val="00F4060C"/>
    <w:rsid w:val="00F46E2C"/>
    <w:rsid w:val="00F561ED"/>
    <w:rsid w:val="00FA001D"/>
    <w:rsid w:val="00FE6A0A"/>
    <w:rsid w:val="0F9F7CD3"/>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0"/>
      <w:szCs w:val="20"/>
      <w:lang w:val="it-IT" w:eastAsia="it-IT" w:bidi="ar-SA"/>
    </w:rPr>
  </w:style>
  <w:style w:type="paragraph" w:styleId="2">
    <w:name w:val="heading 2"/>
    <w:basedOn w:val="1"/>
    <w:next w:val="1"/>
    <w:link w:val="13"/>
    <w:qFormat/>
    <w:uiPriority w:val="0"/>
    <w:pPr>
      <w:keepNext/>
      <w:suppressAutoHyphens/>
      <w:ind w:left="1440" w:hanging="360"/>
      <w:outlineLvl w:val="1"/>
    </w:pPr>
    <w:rPr>
      <w:kern w:val="1"/>
      <w:sz w:val="24"/>
      <w:lang w:val="pt-BR" w:eastAsia="ar-SA"/>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Emphasis"/>
    <w:basedOn w:val="3"/>
    <w:qFormat/>
    <w:uiPriority w:val="20"/>
    <w:rPr>
      <w:i/>
      <w:iCs/>
    </w:rPr>
  </w:style>
  <w:style w:type="paragraph" w:styleId="6">
    <w:name w:val="header"/>
    <w:basedOn w:val="1"/>
    <w:link w:val="16"/>
    <w:unhideWhenUsed/>
    <w:uiPriority w:val="99"/>
    <w:pPr>
      <w:tabs>
        <w:tab w:val="center" w:pos="4252"/>
        <w:tab w:val="right" w:pos="8504"/>
      </w:tabs>
    </w:pPr>
  </w:style>
  <w:style w:type="paragraph" w:styleId="7">
    <w:name w:val="footer"/>
    <w:basedOn w:val="1"/>
    <w:link w:val="17"/>
    <w:semiHidden/>
    <w:unhideWhenUsed/>
    <w:uiPriority w:val="99"/>
    <w:pPr>
      <w:tabs>
        <w:tab w:val="center" w:pos="4252"/>
        <w:tab w:val="right" w:pos="8504"/>
      </w:tabs>
    </w:pPr>
  </w:style>
  <w:style w:type="paragraph" w:styleId="8">
    <w:name w:val="Balloon Text"/>
    <w:basedOn w:val="1"/>
    <w:link w:val="20"/>
    <w:semiHidden/>
    <w:unhideWhenUsed/>
    <w:uiPriority w:val="99"/>
    <w:rPr>
      <w:rFonts w:ascii="Tahoma" w:hAnsi="Tahoma" w:cs="Tahoma"/>
      <w:sz w:val="16"/>
      <w:szCs w:val="16"/>
    </w:rPr>
  </w:style>
  <w:style w:type="paragraph" w:styleId="9">
    <w:name w:val="Body Text Indent"/>
    <w:basedOn w:val="1"/>
    <w:link w:val="15"/>
    <w:uiPriority w:val="0"/>
    <w:pPr>
      <w:suppressAutoHyphens/>
      <w:ind w:firstLine="1701"/>
      <w:jc w:val="both"/>
    </w:pPr>
    <w:rPr>
      <w:sz w:val="24"/>
      <w:lang w:val="pt-BR" w:eastAsia="ar-SA"/>
    </w:rPr>
  </w:style>
  <w:style w:type="table" w:styleId="10">
    <w:name w:val="Table Grid"/>
    <w:basedOn w:val="4"/>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11">
    <w:name w:val="List Paragraph"/>
    <w:basedOn w:val="1"/>
    <w:qFormat/>
    <w:uiPriority w:val="34"/>
    <w:pPr>
      <w:ind w:left="720"/>
      <w:contextualSpacing/>
    </w:pPr>
  </w:style>
  <w:style w:type="paragraph" w:customStyle="1" w:styleId="12">
    <w:name w:val="Corpo de texto 31"/>
    <w:basedOn w:val="1"/>
    <w:qFormat/>
    <w:uiPriority w:val="0"/>
    <w:pPr>
      <w:suppressAutoHyphens/>
      <w:jc w:val="both"/>
    </w:pPr>
    <w:rPr>
      <w:sz w:val="28"/>
      <w:lang w:val="pt-BR" w:eastAsia="ar-SA"/>
    </w:rPr>
  </w:style>
  <w:style w:type="character" w:customStyle="1" w:styleId="13">
    <w:name w:val="Título 2 Char"/>
    <w:basedOn w:val="3"/>
    <w:link w:val="2"/>
    <w:qFormat/>
    <w:uiPriority w:val="0"/>
    <w:rPr>
      <w:rFonts w:ascii="Times New Roman" w:hAnsi="Times New Roman" w:eastAsia="Times New Roman" w:cs="Times New Roman"/>
      <w:kern w:val="1"/>
      <w:sz w:val="24"/>
      <w:szCs w:val="20"/>
      <w:lang w:eastAsia="ar-SA"/>
    </w:rPr>
  </w:style>
  <w:style w:type="character" w:customStyle="1" w:styleId="14">
    <w:name w:val="apple-converted-space"/>
    <w:basedOn w:val="3"/>
    <w:qFormat/>
    <w:uiPriority w:val="0"/>
  </w:style>
  <w:style w:type="character" w:customStyle="1" w:styleId="15">
    <w:name w:val="Recuo de corpo de texto Char"/>
    <w:basedOn w:val="3"/>
    <w:link w:val="9"/>
    <w:uiPriority w:val="0"/>
    <w:rPr>
      <w:rFonts w:ascii="Times New Roman" w:hAnsi="Times New Roman" w:eastAsia="Times New Roman" w:cs="Times New Roman"/>
      <w:sz w:val="24"/>
      <w:szCs w:val="20"/>
      <w:lang w:eastAsia="ar-SA"/>
    </w:rPr>
  </w:style>
  <w:style w:type="character" w:customStyle="1" w:styleId="16">
    <w:name w:val="Cabeçalho Char"/>
    <w:basedOn w:val="3"/>
    <w:link w:val="6"/>
    <w:uiPriority w:val="99"/>
    <w:rPr>
      <w:rFonts w:ascii="Times New Roman" w:hAnsi="Times New Roman" w:eastAsia="Times New Roman" w:cs="Times New Roman"/>
      <w:sz w:val="20"/>
      <w:szCs w:val="20"/>
      <w:lang w:val="it-IT" w:eastAsia="it-IT"/>
    </w:rPr>
  </w:style>
  <w:style w:type="character" w:customStyle="1" w:styleId="17">
    <w:name w:val="Rodapé Char"/>
    <w:basedOn w:val="3"/>
    <w:link w:val="7"/>
    <w:semiHidden/>
    <w:uiPriority w:val="99"/>
    <w:rPr>
      <w:rFonts w:ascii="Times New Roman" w:hAnsi="Times New Roman" w:eastAsia="Times New Roman" w:cs="Times New Roman"/>
      <w:sz w:val="20"/>
      <w:szCs w:val="20"/>
      <w:lang w:val="it-IT" w:eastAsia="it-IT"/>
    </w:rPr>
  </w:style>
  <w:style w:type="paragraph" w:styleId="18">
    <w:name w:val="No Spacing"/>
    <w:link w:val="19"/>
    <w:qFormat/>
    <w:uiPriority w:val="1"/>
    <w:pPr>
      <w:spacing w:after="0" w:line="240" w:lineRule="auto"/>
    </w:pPr>
    <w:rPr>
      <w:rFonts w:asciiTheme="minorHAnsi" w:hAnsiTheme="minorHAnsi" w:eastAsiaTheme="minorEastAsia" w:cstheme="minorBidi"/>
      <w:sz w:val="22"/>
      <w:szCs w:val="22"/>
      <w:lang w:val="pt-BR" w:eastAsia="en-US" w:bidi="ar-SA"/>
    </w:rPr>
  </w:style>
  <w:style w:type="character" w:customStyle="1" w:styleId="19">
    <w:name w:val="Sem Espaçamento Char"/>
    <w:basedOn w:val="3"/>
    <w:link w:val="18"/>
    <w:uiPriority w:val="1"/>
    <w:rPr>
      <w:rFonts w:eastAsiaTheme="minorEastAsia"/>
    </w:rPr>
  </w:style>
  <w:style w:type="character" w:customStyle="1" w:styleId="20">
    <w:name w:val="Texto de balão Char"/>
    <w:basedOn w:val="3"/>
    <w:link w:val="8"/>
    <w:semiHidden/>
    <w:uiPriority w:val="99"/>
    <w:rPr>
      <w:rFonts w:ascii="Tahoma" w:hAnsi="Tahoma" w:eastAsia="Times New Roman" w:cs="Tahoma"/>
      <w:sz w:val="16"/>
      <w:szCs w:val="16"/>
      <w:lang w:val="it-IT" w:eastAsia="it-IT"/>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UFPR</Company>
  <Pages>4</Pages>
  <Words>1907</Words>
  <Characters>10298</Characters>
  <Lines>85</Lines>
  <Paragraphs>24</Paragraphs>
  <TotalTime>15</TotalTime>
  <ScaleCrop>false</ScaleCrop>
  <LinksUpToDate>false</LinksUpToDate>
  <CharactersWithSpaces>12181</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2015-11-09T13:21:00Z</dcterms:created>
  <dc:creator>ARI</dc:creator>
  <cp:lastModifiedBy>Renata Alves</cp:lastModifiedBy>
  <dcterms:modified xsi:type="dcterms:W3CDTF">2022-02-14T14:40:59Z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1046-11.2.0.10463</vt:lpwstr>
  </property>
  <property fmtid="{D5CDD505-2E9C-101B-9397-08002B2CF9AE}" pid="3" name="ICV">
    <vt:lpwstr>A7C69F9643DC42BABED1ED6CB757444D</vt:lpwstr>
  </property>
</Properties>
</file>