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MOBILIDADE DE PESSOAL </w:t>
      </w:r>
      <w:r w:rsidDel="00000000" w:rsidR="00000000" w:rsidRPr="00000000">
        <w:rPr>
          <w:sz w:val="24"/>
          <w:szCs w:val="24"/>
          <w:rtl w:val="0"/>
        </w:rPr>
        <w:t xml:space="preserve">(ciclovias, carona solidária e interação com o transporte público, outros)</w:t>
      </w:r>
    </w:p>
    <w:p w:rsidR="00000000" w:rsidDel="00000000" w:rsidP="00000000" w:rsidRDefault="00000000" w:rsidRPr="00000000" w14:paraId="00000002">
      <w:pPr>
        <w:spacing w:line="360" w:lineRule="auto"/>
        <w:rPr>
          <w:b w:val="1"/>
          <w:color w:val="8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color w:val="800000"/>
          <w:sz w:val="24"/>
          <w:szCs w:val="24"/>
          <w:highlight w:val="white"/>
          <w:rtl w:val="0"/>
        </w:rPr>
        <w:t xml:space="preserve">Política Nacional de Mobilidade Urbana</w:t>
      </w:r>
      <w:r w:rsidDel="00000000" w:rsidR="00000000" w:rsidRPr="00000000">
        <w:rPr>
          <w:color w:val="800000"/>
          <w:sz w:val="24"/>
          <w:szCs w:val="24"/>
          <w:highlight w:val="white"/>
          <w:rtl w:val="0"/>
        </w:rPr>
        <w:t xml:space="preserve"> - </w:t>
      </w:r>
      <w:hyperlink r:id="rId6">
        <w:r w:rsidDel="00000000" w:rsidR="00000000" w:rsidRPr="00000000">
          <w:rPr>
            <w:color w:val="000080"/>
            <w:sz w:val="24"/>
            <w:szCs w:val="24"/>
            <w:highlight w:val="white"/>
            <w:u w:val="single"/>
            <w:rtl w:val="0"/>
          </w:rPr>
          <w:t xml:space="preserve">LEI Nº 12.587, DE 3 DE JANEIRO DE </w:t>
        </w:r>
      </w:hyperlink>
      <w:r w:rsidDel="00000000" w:rsidR="00000000" w:rsidRPr="00000000">
        <w:rPr>
          <w:sz w:val="24"/>
          <w:szCs w:val="24"/>
          <w:rtl w:val="0"/>
        </w:rPr>
        <w:t xml:space="preserve">2012 (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http://www.planalto.gov.br/ccivil_03/_ato2011-2014/2012/lei/l12587.htm</w:t>
        </w:r>
      </w:hyperlink>
      <w:r w:rsidDel="00000000" w:rsidR="00000000" w:rsidRPr="00000000">
        <w:rPr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04">
      <w:pPr>
        <w:spacing w:after="240" w:line="360" w:lineRule="auto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</w:t>
      </w:r>
      <w:r w:rsidDel="00000000" w:rsidR="00000000" w:rsidRPr="00000000">
        <w:rPr>
          <w:sz w:val="24"/>
          <w:szCs w:val="24"/>
          <w:rtl w:val="0"/>
        </w:rPr>
        <w:t xml:space="preserve">Art. 6º A Política Nacional de Mobilidade Urbana é orientada pelas seguintes diretrizes:</w:t>
      </w:r>
    </w:p>
    <w:p w:rsidR="00000000" w:rsidDel="00000000" w:rsidP="00000000" w:rsidRDefault="00000000" w:rsidRPr="00000000" w14:paraId="00000005">
      <w:pPr>
        <w:spacing w:after="240" w:before="240" w:line="360" w:lineRule="auto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integração com a política de desenvolvimento urbano e respectivas políticas setoriais de habitação, saneamento básico, planejamento e gestão do uso do solo no âmbito dos entes federativos;</w:t>
      </w:r>
    </w:p>
    <w:p w:rsidR="00000000" w:rsidDel="00000000" w:rsidP="00000000" w:rsidRDefault="00000000" w:rsidRPr="00000000" w14:paraId="00000006">
      <w:pPr>
        <w:spacing w:after="240" w:before="240" w:line="360" w:lineRule="auto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prioridade dos modos de transportes não motorizados sobre os motorizados e dos serviços de transporte público coletivo sobre o transporte individual motorizado;</w:t>
      </w:r>
    </w:p>
    <w:p w:rsidR="00000000" w:rsidDel="00000000" w:rsidP="00000000" w:rsidRDefault="00000000" w:rsidRPr="00000000" w14:paraId="00000007">
      <w:pPr>
        <w:spacing w:after="240" w:before="240" w:line="360" w:lineRule="auto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- integração entre os modos e serviços de transporte urbano;</w:t>
      </w:r>
    </w:p>
    <w:p w:rsidR="00000000" w:rsidDel="00000000" w:rsidP="00000000" w:rsidRDefault="00000000" w:rsidRPr="00000000" w14:paraId="00000008">
      <w:pPr>
        <w:spacing w:after="240" w:before="240" w:line="360" w:lineRule="auto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 - mitigação dos custos ambientais, sociais e econômicos dos deslocamentos de pessoas e cargas na cidade;</w:t>
      </w:r>
    </w:p>
    <w:p w:rsidR="00000000" w:rsidDel="00000000" w:rsidP="00000000" w:rsidRDefault="00000000" w:rsidRPr="00000000" w14:paraId="00000009">
      <w:pPr>
        <w:spacing w:after="240" w:before="240" w:line="360" w:lineRule="auto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- incentivo ao desenvolvimento científico-tecnológico e ao uso de energias renováveis e menos poluentes;</w:t>
      </w:r>
    </w:p>
    <w:p w:rsidR="00000000" w:rsidDel="00000000" w:rsidP="00000000" w:rsidRDefault="00000000" w:rsidRPr="00000000" w14:paraId="0000000A">
      <w:pPr>
        <w:spacing w:after="240" w:before="240" w:line="360" w:lineRule="auto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 - priorização de projetos de transporte público coletivo estruturadores do território e indutores do desenvolvimento urbano integrado; e</w:t>
      </w:r>
    </w:p>
    <w:p w:rsidR="00000000" w:rsidDel="00000000" w:rsidP="00000000" w:rsidRDefault="00000000" w:rsidRPr="00000000" w14:paraId="0000000B">
      <w:pPr>
        <w:spacing w:after="240" w:before="240" w:line="360" w:lineRule="auto"/>
        <w:ind w:firstLine="5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VII - integração entre as cidades gêmeas localizadas na faixa de fronteira com outros países sobre a linha divisória internacional.</w:t>
      </w:r>
    </w:p>
    <w:p w:rsidR="00000000" w:rsidDel="00000000" w:rsidP="00000000" w:rsidRDefault="00000000" w:rsidRPr="00000000" w14:paraId="0000000C">
      <w:pPr>
        <w:spacing w:after="240" w:before="240" w:line="360" w:lineRule="auto"/>
        <w:ind w:firstLine="580"/>
        <w:jc w:val="both"/>
        <w:rPr>
          <w:color w:val="1155cc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VIII - garantia de sustentabilidade econômica das redes de transporte público coletivo de passageiros, de modo a preservar a continuidade, a universalidade e a modicidade tarifária do serviço</w:t>
      </w:r>
      <w:hyperlink r:id="rId8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(Incluído pela Lei nº 13.683, de 2018)</w:t>
        </w:r>
      </w:hyperlink>
      <w:r w:rsidDel="00000000" w:rsidR="00000000" w:rsidRPr="00000000">
        <w:rPr>
          <w:color w:val="1155cc"/>
          <w:sz w:val="24"/>
          <w:szCs w:val="24"/>
          <w:u w:val="single"/>
          <w:rtl w:val="0"/>
        </w:rPr>
        <w:t xml:space="preserve">”.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lanalto.gov.br/ccivil_03/_Ato2015-2018/2018/Lei/L13683.htm#art2" TargetMode="External"/><Relationship Id="rId5" Type="http://schemas.openxmlformats.org/officeDocument/2006/relationships/styles" Target="styles.xml"/><Relationship Id="rId6" Type="http://schemas.openxmlformats.org/officeDocument/2006/relationships/hyperlink" Target="http://legislacao.planalto.gov.br/legisla/legislacao.nsf/Viw_Identificacao/lei%209.433-1997?OpenDocument" TargetMode="External"/><Relationship Id="rId7" Type="http://schemas.openxmlformats.org/officeDocument/2006/relationships/hyperlink" Target="http://www.planalto.gov.br/ccivil_03/_ato2011-2014/2012/lei/l12587.htm" TargetMode="External"/><Relationship Id="rId8" Type="http://schemas.openxmlformats.org/officeDocument/2006/relationships/hyperlink" Target="http://www.planalto.gov.br/ccivil_03/_Ato2015-2018/2018/Lei/L13683.htm#art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