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12B6" w14:textId="77777777" w:rsidR="007D007B" w:rsidRDefault="0049617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ARQUITETURA SUSTENTÁVEL </w:t>
      </w:r>
    </w:p>
    <w:p w14:paraId="00000001" w14:textId="0D659F2C" w:rsidR="00B8375D" w:rsidRDefault="0049617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7D007B">
        <w:rPr>
          <w:sz w:val="24"/>
          <w:szCs w:val="24"/>
        </w:rPr>
        <w:t>(planejamento das edificações, recuperação e reuso da água, tratamento de efluentes, geração de energia</w:t>
      </w:r>
      <w:r w:rsidR="007D007B" w:rsidRPr="007D007B">
        <w:rPr>
          <w:sz w:val="24"/>
          <w:szCs w:val="24"/>
        </w:rPr>
        <w:t xml:space="preserve"> e uso</w:t>
      </w:r>
      <w:r w:rsidRPr="007D007B">
        <w:rPr>
          <w:sz w:val="24"/>
          <w:szCs w:val="24"/>
        </w:rPr>
        <w:t>, conforto térmico e acústico).</w:t>
      </w:r>
    </w:p>
    <w:p w14:paraId="6BD3FFBE" w14:textId="77777777" w:rsidR="007D007B" w:rsidRPr="007D007B" w:rsidRDefault="007D007B">
      <w:pPr>
        <w:spacing w:line="360" w:lineRule="auto"/>
        <w:jc w:val="both"/>
        <w:rPr>
          <w:sz w:val="24"/>
          <w:szCs w:val="24"/>
        </w:rPr>
      </w:pPr>
    </w:p>
    <w:p w14:paraId="00000002" w14:textId="4AB11FCC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“‘Construção sustentável’ é definida como: ‘um processo holístico que aspira a restauração e manutenção da harmonia entre os ambientes natural e construído, e a criação de assentamentos que afirmem a dignidade humana e encorajem a equidade econômica’, enfa</w:t>
      </w:r>
      <w:r>
        <w:rPr>
          <w:sz w:val="24"/>
          <w:szCs w:val="24"/>
        </w:rPr>
        <w:t>tizando a adição de valor à qualidade de vida dos indivíduos e das comunidades” (MMA, 2013:2</w:t>
      </w:r>
      <w:r w:rsidR="007D007B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). </w:t>
      </w:r>
    </w:p>
    <w:p w14:paraId="00000003" w14:textId="77777777" w:rsidR="00B8375D" w:rsidRDefault="00B8375D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00000007" w14:textId="77777777" w:rsidR="00B8375D" w:rsidRDefault="00B8375D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00000008" w14:textId="77777777" w:rsidR="00B8375D" w:rsidRDefault="0049617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SUBTEMA - GESTÃO DAS ÁGUAS DO PLS/UFSB</w:t>
      </w:r>
    </w:p>
    <w:p w14:paraId="00000009" w14:textId="77777777" w:rsidR="00B8375D" w:rsidRDefault="00B8375D">
      <w:pPr>
        <w:spacing w:line="360" w:lineRule="auto"/>
        <w:jc w:val="both"/>
        <w:rPr>
          <w:b/>
          <w:sz w:val="24"/>
          <w:szCs w:val="24"/>
        </w:rPr>
      </w:pPr>
    </w:p>
    <w:p w14:paraId="0000000A" w14:textId="77777777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Brasil possui </w:t>
      </w:r>
      <w:r>
        <w:rPr>
          <w:sz w:val="24"/>
          <w:szCs w:val="24"/>
        </w:rPr>
        <w:t xml:space="preserve">a Política Nacional de Recursos Hídricos (PNRH) e o Sistema Nacional de Gerenciamento dos Recursos Hídricos (SINGREH) instituídos pela Lei N° 9.433, de 08 de Janeiro de 1997 e dispõe em seu Art. 4º que “A União articular-se-á com os Estados tendo em vista </w:t>
      </w:r>
      <w:r>
        <w:rPr>
          <w:sz w:val="24"/>
          <w:szCs w:val="24"/>
        </w:rPr>
        <w:t>o gerenciamento dos recursos hídricos de interesse comum”. O Estado da Bahia dispõe sobre a Política Estadual de Recursos Hídricos (PERH) e Sistema Estadual de Gestão dos Recursos Hídricos (SEGRH) através da lei 11.612 de 08 de Outubro de 2009, na qual des</w:t>
      </w:r>
      <w:r>
        <w:rPr>
          <w:sz w:val="24"/>
          <w:szCs w:val="24"/>
        </w:rPr>
        <w:t xml:space="preserve">taca em seu Art. 4° como I diretriz “a articulação com o Sistema Nacional de Gerenciamento de Recursos </w:t>
      </w:r>
      <w:proofErr w:type="gramStart"/>
      <w:r>
        <w:rPr>
          <w:sz w:val="24"/>
          <w:szCs w:val="24"/>
        </w:rPr>
        <w:t>Hídricos -SINGREH</w:t>
      </w:r>
      <w:proofErr w:type="gramEnd"/>
      <w:r>
        <w:rPr>
          <w:sz w:val="24"/>
          <w:szCs w:val="24"/>
        </w:rPr>
        <w:t>”.</w:t>
      </w:r>
    </w:p>
    <w:p w14:paraId="0000000B" w14:textId="77777777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Plano de Logística Sustentável da UFSB traz o tema de Gestão das Águas e objetiva o alinhamento com as Políticas públicas específic</w:t>
      </w:r>
      <w:r>
        <w:rPr>
          <w:sz w:val="24"/>
          <w:szCs w:val="24"/>
        </w:rPr>
        <w:t>as de cada tema, cabe destacar ainda, que algumas diretrizes da Política Estadual de Recursos Hídricos são importantes bases na construção dos temas como a compatibilização do planejamento e da gestão do uso dos recursos hídricos, além da integração do ger</w:t>
      </w:r>
      <w:r>
        <w:rPr>
          <w:sz w:val="24"/>
          <w:szCs w:val="24"/>
        </w:rPr>
        <w:t>enciamento dos recursos hídricos com as políticas públicas federais, estaduais ou municipais de meio ambiente, saúde, saneamento, habitação, uso do solo e desenvolvimento urbano e regional e outras de relevante interesse social que tenham inter-relação com</w:t>
      </w:r>
      <w:r>
        <w:rPr>
          <w:sz w:val="24"/>
          <w:szCs w:val="24"/>
        </w:rPr>
        <w:t xml:space="preserve"> a gestão das águas.</w:t>
      </w:r>
    </w:p>
    <w:p w14:paraId="0000000C" w14:textId="77777777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adequação da gestão de recursos hídricos às características regionais, a gestão integrada, sem dissociação dos aspectos quantitativo e </w:t>
      </w:r>
      <w:proofErr w:type="spellStart"/>
      <w:proofErr w:type="gramStart"/>
      <w:r>
        <w:rPr>
          <w:sz w:val="24"/>
          <w:szCs w:val="24"/>
        </w:rPr>
        <w:t>qualitativo,</w:t>
      </w:r>
      <w:proofErr w:type="gramEnd"/>
      <w:r>
        <w:rPr>
          <w:sz w:val="24"/>
          <w:szCs w:val="24"/>
        </w:rPr>
        <w:t>considerando</w:t>
      </w:r>
      <w:proofErr w:type="spellEnd"/>
      <w:r>
        <w:rPr>
          <w:sz w:val="24"/>
          <w:szCs w:val="24"/>
        </w:rPr>
        <w:t xml:space="preserve"> as </w:t>
      </w:r>
      <w:r>
        <w:rPr>
          <w:sz w:val="24"/>
          <w:szCs w:val="24"/>
        </w:rPr>
        <w:lastRenderedPageBreak/>
        <w:t>fases do ciclo hidrológico, a maximização dos benefícios sociais e eco</w:t>
      </w:r>
      <w:r>
        <w:rPr>
          <w:sz w:val="24"/>
          <w:szCs w:val="24"/>
        </w:rPr>
        <w:t>nômicos resultantes do aproveitamento múltiplo e integrado dos recursos hídricos também são apontadas nas diretrizes da PERH.</w:t>
      </w:r>
    </w:p>
    <w:p w14:paraId="0000000D" w14:textId="77777777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Política Estadual destacamos também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desenvolvimento permanente de programas de conservação e proteção das águas contra a pol</w:t>
      </w:r>
      <w:r>
        <w:rPr>
          <w:sz w:val="24"/>
          <w:szCs w:val="24"/>
        </w:rPr>
        <w:t>uição e a exploração excessiva ou não controlada, o estímulo e o fomento à mobilização, participação e controle social para a gestão das águas, a promoção da educação para o uso dos recursos hídricos, buscando sensibilizar a coletividade a respeito da nece</w:t>
      </w:r>
      <w:r>
        <w:rPr>
          <w:sz w:val="24"/>
          <w:szCs w:val="24"/>
        </w:rPr>
        <w:t>ssidade de conservação e de utilização sustentável deste recurso, além da capacitação dos envolvidos para uma participação ativa na sua defesa.</w:t>
      </w:r>
    </w:p>
    <w:p w14:paraId="0000000E" w14:textId="77777777" w:rsidR="00B8375D" w:rsidRDefault="0049617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Outro ponto importante que podemos apontar nessas diretrizes da PERH é a utilização racional das águas superfici</w:t>
      </w:r>
      <w:r>
        <w:rPr>
          <w:sz w:val="24"/>
          <w:szCs w:val="24"/>
        </w:rPr>
        <w:t xml:space="preserve">ais e subterrâneas, promoção das tecnologias </w:t>
      </w:r>
      <w:proofErr w:type="spellStart"/>
      <w:r>
        <w:rPr>
          <w:sz w:val="24"/>
          <w:szCs w:val="24"/>
        </w:rPr>
        <w:t>eco-sustentáveis</w:t>
      </w:r>
      <w:proofErr w:type="spellEnd"/>
      <w:r>
        <w:rPr>
          <w:sz w:val="24"/>
          <w:szCs w:val="24"/>
        </w:rPr>
        <w:t xml:space="preserve">, voltadas para o uso </w:t>
      </w:r>
      <w:proofErr w:type="spellStart"/>
      <w:proofErr w:type="gramStart"/>
      <w:r>
        <w:rPr>
          <w:sz w:val="24"/>
          <w:szCs w:val="24"/>
        </w:rPr>
        <w:t>racional,</w:t>
      </w:r>
      <w:proofErr w:type="gramEnd"/>
      <w:r>
        <w:rPr>
          <w:sz w:val="24"/>
          <w:szCs w:val="24"/>
        </w:rPr>
        <w:t>conservação</w:t>
      </w:r>
      <w:proofErr w:type="spellEnd"/>
      <w:r>
        <w:rPr>
          <w:sz w:val="24"/>
          <w:szCs w:val="24"/>
        </w:rPr>
        <w:t xml:space="preserve"> e recondução dos recursos hídricos para o </w:t>
      </w:r>
      <w:proofErr w:type="spellStart"/>
      <w:r>
        <w:rPr>
          <w:sz w:val="24"/>
          <w:szCs w:val="24"/>
        </w:rPr>
        <w:t>reúso</w:t>
      </w:r>
      <w:proofErr w:type="spellEnd"/>
      <w:r>
        <w:rPr>
          <w:sz w:val="24"/>
          <w:szCs w:val="24"/>
        </w:rPr>
        <w:t>, reciclagem e outras formas de tratamento da água e de efluentes sem esquecer da utilização de instrumen</w:t>
      </w:r>
      <w:r>
        <w:rPr>
          <w:sz w:val="24"/>
          <w:szCs w:val="24"/>
        </w:rPr>
        <w:t>tos econômicos e tributários de estímulo ao uso racional e à conservação dos recursos hídricos.</w:t>
      </w:r>
    </w:p>
    <w:p w14:paraId="0000000F" w14:textId="77777777" w:rsidR="00B8375D" w:rsidRDefault="00B8375D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00000010" w14:textId="77777777" w:rsidR="00B8375D" w:rsidRDefault="00496173">
      <w:pPr>
        <w:spacing w:before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Ações sugeridas pela Instrução Normativa para o PLS </w:t>
      </w:r>
      <w:r>
        <w:rPr>
          <w:sz w:val="24"/>
          <w:szCs w:val="24"/>
        </w:rPr>
        <w:t>(IN n°10, 12 de nov. de 2012).</w:t>
      </w:r>
    </w:p>
    <w:p w14:paraId="00000011" w14:textId="77777777" w:rsidR="00B8375D" w:rsidRDefault="00B8375D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00000020" w14:textId="77777777" w:rsidR="00B8375D" w:rsidRDefault="004961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Água e esgoto</w:t>
      </w:r>
      <w:r>
        <w:rPr>
          <w:sz w:val="24"/>
          <w:szCs w:val="24"/>
        </w:rPr>
        <w:t>:</w:t>
      </w:r>
    </w:p>
    <w:p w14:paraId="00000021" w14:textId="0CCB5130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levantamento e monitorar, periodicamente, a situação das instalações hidráulicas e propor alterações necessárias para redução do consumo;</w:t>
      </w:r>
    </w:p>
    <w:p w14:paraId="00000022" w14:textId="25020748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Monitorar o uso da água;</w:t>
      </w:r>
    </w:p>
    <w:p w14:paraId="00000023" w14:textId="7BDC48CA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Promover campanhas de conscientização para o não desperdício da água;</w:t>
      </w:r>
    </w:p>
    <w:p w14:paraId="00000024" w14:textId="4D7FF5F1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p</w:t>
      </w:r>
      <w:r>
        <w:rPr>
          <w:sz w:val="24"/>
          <w:szCs w:val="24"/>
        </w:rPr>
        <w:t>referência a sistema de medição individualizado de consumo de água;</w:t>
      </w:r>
    </w:p>
    <w:p w14:paraId="00000025" w14:textId="00983152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preferência a sistema de reuso de água e de tratamento dos efluentes gerados;</w:t>
      </w:r>
    </w:p>
    <w:p w14:paraId="00000026" w14:textId="004FC5AA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Analisar a viabilidade do aproveitamento da água de chuva, poços artesianos;</w:t>
      </w:r>
    </w:p>
    <w:p w14:paraId="00000027" w14:textId="787A46B0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Criar rotinas acerca</w:t>
      </w:r>
      <w:r>
        <w:rPr>
          <w:sz w:val="24"/>
          <w:szCs w:val="24"/>
        </w:rPr>
        <w:t xml:space="preserve"> da periodicidade de irrigação de jardins, de </w:t>
      </w:r>
      <w:proofErr w:type="gramStart"/>
      <w:r>
        <w:rPr>
          <w:sz w:val="24"/>
          <w:szCs w:val="24"/>
        </w:rPr>
        <w:t>forma a estipular períodos padronizados para esta atividade em cada época do ano</w:t>
      </w:r>
      <w:proofErr w:type="gramEnd"/>
      <w:r>
        <w:rPr>
          <w:sz w:val="24"/>
          <w:szCs w:val="24"/>
        </w:rPr>
        <w:t>;</w:t>
      </w:r>
    </w:p>
    <w:p w14:paraId="00000028" w14:textId="72C0F5D2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preferência ao uso de descargas e torneiras mais eficientes; </w:t>
      </w:r>
    </w:p>
    <w:p w14:paraId="00000029" w14:textId="6FA36CAD" w:rsidR="00B8375D" w:rsidRDefault="00496173" w:rsidP="007D0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preferência à lavagem ecológica.</w:t>
      </w:r>
    </w:p>
    <w:p w14:paraId="4A459E3A" w14:textId="77777777" w:rsidR="007D007B" w:rsidRDefault="007D007B">
      <w:r>
        <w:br w:type="page"/>
      </w:r>
    </w:p>
    <w:p w14:paraId="74C412F3" w14:textId="122C5856" w:rsidR="007D007B" w:rsidRDefault="007D007B" w:rsidP="007D007B">
      <w:pPr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SUBTEMA </w:t>
      </w:r>
      <w:r>
        <w:rPr>
          <w:b/>
          <w:sz w:val="24"/>
          <w:szCs w:val="24"/>
        </w:rPr>
        <w:t>ENERGIA ELÉTRICA</w:t>
      </w:r>
    </w:p>
    <w:p w14:paraId="2117E50C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>
        <w:rPr>
          <w:sz w:val="24"/>
          <w:szCs w:val="24"/>
        </w:rPr>
        <w:t>A energia elétrica se tornou um dos bens de consumo fundamentais para as sociedades modernas.</w:t>
      </w:r>
      <w:proofErr w:type="gramEnd"/>
      <w:r>
        <w:rPr>
          <w:sz w:val="24"/>
          <w:szCs w:val="24"/>
        </w:rPr>
        <w:t xml:space="preserve"> Ela é utilizada para gerar iluminação, movimentar máquinas e equipamentos, controlar a temperatura produzindo calor ou frio, agilizar as comunicações, etc. Da eletricidade dependem a produção, locomoção, eficiência, segurança, conforto e vários outros fatores associados à qualidade de vida. A contrapartida dos benefícios proporcionados pelo desenvolvimento tecnológico é o crescimento constante do consumo de energia. Para enfrentar o aumento da demanda no futuro é preciso encarar o uso da energia sob a ótica do consumo sustentável, ou seja, aquele que atende às necessidades da geração atual sem prejuízo para as gerações futuras. Isso significa eliminar desperdícios e buscar fontes alternativas mais eficientes e seguras para o homem e o meio ambiente. No Brasil já existem diferentes leis e programas voltados à promoção da eficiência energética, entre eles destacam-se: </w:t>
      </w:r>
    </w:p>
    <w:p w14:paraId="2CBABF13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Lei Nº 10.295 que versa sobre a eficiência energética dos equipamentos comercializados no país que devem atender aos índices mínimos de eficiência ou níveis máximos de consumo de energia definidos; </w:t>
      </w:r>
    </w:p>
    <w:p w14:paraId="1340FAD8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• Decreto nº 4.131 que dispõe sobre medidas emergenciais de redução do consumo de energia elétrica no âmbito da Administração Pública Federal”</w:t>
      </w:r>
      <w:proofErr w:type="gramEnd"/>
      <w:r>
        <w:rPr>
          <w:sz w:val="24"/>
          <w:szCs w:val="24"/>
        </w:rPr>
        <w:t xml:space="preserve"> (MMA, 2009</w:t>
      </w:r>
      <w:r>
        <w:rPr>
          <w:rStyle w:val="Refdenotaderodap"/>
          <w:sz w:val="24"/>
          <w:szCs w:val="24"/>
        </w:rPr>
        <w:footnoteReference w:id="2"/>
      </w:r>
      <w:r>
        <w:rPr>
          <w:sz w:val="24"/>
          <w:szCs w:val="24"/>
        </w:rPr>
        <w:t>).</w:t>
      </w:r>
    </w:p>
    <w:p w14:paraId="3EE3FA20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Os principais instrumentos para melhoria de desempenho energético em edificações são: </w:t>
      </w:r>
    </w:p>
    <w:p w14:paraId="4AFF664E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requerimentos</w:t>
      </w:r>
      <w:proofErr w:type="gramEnd"/>
      <w:r>
        <w:rPr>
          <w:sz w:val="24"/>
          <w:szCs w:val="24"/>
        </w:rPr>
        <w:t xml:space="preserve"> normativos mínimos para desempenho; </w:t>
      </w:r>
    </w:p>
    <w:p w14:paraId="43049F85" w14:textId="77777777" w:rsidR="007D007B" w:rsidRDefault="007D007B" w:rsidP="007D007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etiquetagem</w:t>
      </w:r>
      <w:proofErr w:type="gramEnd"/>
      <w:r>
        <w:rPr>
          <w:sz w:val="24"/>
          <w:szCs w:val="24"/>
        </w:rPr>
        <w:t xml:space="preserve"> e certificação de desempenho acima do mínimo necessário; </w:t>
      </w:r>
    </w:p>
    <w:p w14:paraId="23687B59" w14:textId="77777777" w:rsidR="007D007B" w:rsidRDefault="007D007B" w:rsidP="007D007B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apoio</w:t>
      </w:r>
      <w:proofErr w:type="gramEnd"/>
      <w:r>
        <w:rPr>
          <w:sz w:val="24"/>
          <w:szCs w:val="24"/>
        </w:rPr>
        <w:t xml:space="preserve"> técnico, capacitação e desenvolvimento de ferramentas; e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incentivos fiscais” (MMA, 2014</w:t>
      </w:r>
      <w:r>
        <w:rPr>
          <w:rStyle w:val="Refdenotaderodap"/>
          <w:sz w:val="24"/>
          <w:szCs w:val="24"/>
        </w:rPr>
        <w:footnoteReference w:id="3"/>
      </w:r>
      <w:r>
        <w:rPr>
          <w:sz w:val="24"/>
          <w:szCs w:val="24"/>
        </w:rPr>
        <w:t>).</w:t>
      </w:r>
    </w:p>
    <w:p w14:paraId="0875105B" w14:textId="77777777" w:rsidR="007D007B" w:rsidRDefault="007D007B" w:rsidP="007D007B">
      <w:pPr>
        <w:spacing w:before="240" w:line="240" w:lineRule="auto"/>
        <w:jc w:val="both"/>
        <w:rPr>
          <w:b/>
          <w:sz w:val="24"/>
          <w:szCs w:val="24"/>
        </w:rPr>
      </w:pPr>
    </w:p>
    <w:p w14:paraId="0E0118C0" w14:textId="77777777" w:rsidR="007D007B" w:rsidRDefault="007D007B" w:rsidP="007D007B">
      <w:pPr>
        <w:spacing w:before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Ações sugeridas pela Instrução Normativa para o PLS </w:t>
      </w:r>
      <w:r>
        <w:rPr>
          <w:sz w:val="24"/>
          <w:szCs w:val="24"/>
        </w:rPr>
        <w:t>(IN n°10, 12 de nov. de 2012).</w:t>
      </w:r>
    </w:p>
    <w:p w14:paraId="5B1F3F3C" w14:textId="77777777" w:rsidR="007D007B" w:rsidRDefault="007D007B" w:rsidP="007D007B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58C9D78F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Energia Elétrica</w:t>
      </w:r>
      <w:r>
        <w:rPr>
          <w:sz w:val="24"/>
          <w:szCs w:val="24"/>
        </w:rPr>
        <w:t>:</w:t>
      </w:r>
    </w:p>
    <w:p w14:paraId="525F5EF7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Fazer diagnóstico da situação das instalações elétricas e propor as alterações necessárias para redução do consumo;</w:t>
      </w:r>
    </w:p>
    <w:p w14:paraId="2FCB17A7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Monitorar o consumo de energia;</w:t>
      </w:r>
    </w:p>
    <w:p w14:paraId="1D57270E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C. Promover campanhas de conscientização;</w:t>
      </w:r>
    </w:p>
    <w:p w14:paraId="3381FF35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 Desligar luzes e monitores ao se ausentar do ambiente;</w:t>
      </w:r>
    </w:p>
    <w:p w14:paraId="1D2853CC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 Fechar as portas e janelas quando ligar o ar condicionado;</w:t>
      </w:r>
    </w:p>
    <w:p w14:paraId="2F236DC9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F. Aproveitar as condições naturais do ambiente de trabalho – ventilação, iluminação natural;</w:t>
      </w:r>
    </w:p>
    <w:p w14:paraId="7D378617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 Desligar alguns elevadores nos horários de menor movimento;</w:t>
      </w:r>
    </w:p>
    <w:p w14:paraId="56202AE6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H. Revisar o contrato visando à racionalização em razão da real demanda de energia elétrica do órgão ou entidade;</w:t>
      </w:r>
    </w:p>
    <w:p w14:paraId="2B1A8DDA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Dar preferência, quando da substituição, a aparelhos de ar-condicionado mais modernos e eficientes, visando reduzir o consumo de energia;</w:t>
      </w:r>
    </w:p>
    <w:p w14:paraId="34C0A4EF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Minimizar o consumo de energia reativa excedente e/ou demanda reativa excedente, visando reduzir a quantidade de reatores ou adquirindo um banco de capacitores;</w:t>
      </w:r>
    </w:p>
    <w:p w14:paraId="5D843C44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Utilizar, quando possível, sensores de presença em locais de trânsito de pessoas; </w:t>
      </w:r>
    </w:p>
    <w:p w14:paraId="3508D592" w14:textId="77777777" w:rsidR="007D007B" w:rsidRDefault="007D007B" w:rsidP="007D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 Reduzir a quantidade de lâmpadas, estabelecendo um padrão por m² e estudando a viabilidade de se trocar as calhas embutidas por calhas "invertidas".</w:t>
      </w:r>
    </w:p>
    <w:p w14:paraId="03D9A6E4" w14:textId="77777777" w:rsidR="007D007B" w:rsidRDefault="007D007B"/>
    <w:sectPr w:rsidR="007D007B" w:rsidSect="007D007B">
      <w:pgSz w:w="11909" w:h="16834"/>
      <w:pgMar w:top="1440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E242" w14:textId="77777777" w:rsidR="00496173" w:rsidRDefault="00496173" w:rsidP="007D007B">
      <w:pPr>
        <w:spacing w:line="240" w:lineRule="auto"/>
      </w:pPr>
      <w:r>
        <w:separator/>
      </w:r>
    </w:p>
  </w:endnote>
  <w:endnote w:type="continuationSeparator" w:id="0">
    <w:p w14:paraId="537FDC15" w14:textId="77777777" w:rsidR="00496173" w:rsidRDefault="00496173" w:rsidP="007D0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3464" w14:textId="77777777" w:rsidR="00496173" w:rsidRDefault="00496173" w:rsidP="007D007B">
      <w:pPr>
        <w:spacing w:line="240" w:lineRule="auto"/>
      </w:pPr>
      <w:r>
        <w:separator/>
      </w:r>
    </w:p>
  </w:footnote>
  <w:footnote w:type="continuationSeparator" w:id="0">
    <w:p w14:paraId="312ECF25" w14:textId="77777777" w:rsidR="00496173" w:rsidRDefault="00496173" w:rsidP="007D007B">
      <w:pPr>
        <w:spacing w:line="240" w:lineRule="auto"/>
      </w:pPr>
      <w:r>
        <w:continuationSeparator/>
      </w:r>
    </w:p>
  </w:footnote>
  <w:footnote w:id="1">
    <w:p w14:paraId="081DB94B" w14:textId="67FB899B" w:rsidR="007D007B" w:rsidRDefault="007D007B" w:rsidP="007D007B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highlight w:val="white"/>
        </w:rPr>
        <w:t xml:space="preserve">Ministério do Meio Ambiente. </w:t>
      </w:r>
      <w:r>
        <w:rPr>
          <w:color w:val="303030"/>
          <w:sz w:val="24"/>
          <w:szCs w:val="24"/>
          <w:highlight w:val="white"/>
        </w:rPr>
        <w:t>Construções e Reformas Particulares Sustentáveis.</w:t>
      </w:r>
      <w:r>
        <w:rPr>
          <w:highlight w:val="white"/>
        </w:rPr>
        <w:t xml:space="preserve"> Brasília: MMA, 2013.</w:t>
      </w:r>
      <w:r>
        <w:rPr>
          <w:highlight w:val="white"/>
        </w:rPr>
        <w:t xml:space="preserve"> Disponível em</w:t>
      </w:r>
      <w:r>
        <w:rPr>
          <w:highlight w:val="white"/>
        </w:rPr>
        <w:t xml:space="preserve">: </w:t>
      </w:r>
      <w:hyperlink r:id="rId1">
        <w:r>
          <w:rPr>
            <w:color w:val="1155CC"/>
            <w:u w:val="single"/>
          </w:rPr>
          <w:t>https://www.mma.gov.br/publicacoes/responsabilidade-socioambiental/category/90-producao-e-consumo-sustentaveis</w:t>
        </w:r>
      </w:hyperlink>
    </w:p>
  </w:footnote>
  <w:footnote w:id="2">
    <w:p w14:paraId="2EF605DA" w14:textId="77777777" w:rsidR="007D007B" w:rsidRDefault="007D007B" w:rsidP="007D007B">
      <w:pPr>
        <w:spacing w:line="240" w:lineRule="auto"/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MINISTÉRIO DO MEIO AMBIENTE. Agenda Ambiental na Administração Pública - A3P. Brasília: Secretaria de Articulação Institucional e Cidadania Ambiental Departamento de Cidadania e Responsabilidade Socioambiental, 2009. Disponível em: </w:t>
      </w:r>
      <w:hyperlink r:id="rId2" w:history="1">
        <w:r>
          <w:rPr>
            <w:rStyle w:val="Hyperlink"/>
            <w:sz w:val="18"/>
            <w:szCs w:val="18"/>
          </w:rPr>
          <w:t>https://www.mma.gov.br/estruturas/a3p/_arquivos/cartilha_a3p_36.pdf</w:t>
        </w:r>
      </w:hyperlink>
    </w:p>
  </w:footnote>
  <w:footnote w:id="3">
    <w:p w14:paraId="2F4B3E6F" w14:textId="77777777" w:rsidR="007D007B" w:rsidRDefault="007D007B" w:rsidP="007D007B">
      <w:pPr>
        <w:pStyle w:val="Textodenotaderodap"/>
      </w:pPr>
      <w:r>
        <w:rPr>
          <w:rStyle w:val="Refdenotaderodap"/>
        </w:rPr>
        <w:footnoteRef/>
      </w:r>
      <w:r>
        <w:t xml:space="preserve"> Ministério do Meio Ambiente. Aspectos da Construção Sustentável no Brasil e Promoção de Políticas Públicas. Brasília: MMA; PNUMA; CBCS, 2014. Disponível em: </w:t>
      </w:r>
      <w:hyperlink r:id="rId3" w:history="1">
        <w:r>
          <w:rPr>
            <w:rStyle w:val="Hyperlink"/>
          </w:rPr>
          <w:t>http://www.cbcs.org.br/_5dotSystem/userFiles/MMA-Pnuma/Aspectos%20da%20Construcao%20Sustentavel%20no%20Brasil%20e%20Promocao%20de%20Politicas%20Publicas.pdf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B01"/>
    <w:multiLevelType w:val="multilevel"/>
    <w:tmpl w:val="542A5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375D"/>
    <w:rsid w:val="00496173"/>
    <w:rsid w:val="007D007B"/>
    <w:rsid w:val="00B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7D007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00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00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00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semiHidden/>
    <w:unhideWhenUsed/>
    <w:rsid w:val="007D007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00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00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cs.org.br/_5dotSystem/userFiles/MMA-Pnuma/Aspectos%20da%20Construcao%20Sustentavel%20no%20Brasil%20e%20Promocao%20de%20Politicas%20Publicas.pdf" TargetMode="External"/><Relationship Id="rId2" Type="http://schemas.openxmlformats.org/officeDocument/2006/relationships/hyperlink" Target="https://www.mma.gov.br/estruturas/a3p/_arquivos/cartilha_a3p_36.pdf" TargetMode="External"/><Relationship Id="rId1" Type="http://schemas.openxmlformats.org/officeDocument/2006/relationships/hyperlink" Target="https://www.mma.gov.br/publicacoes/responsabilidade-socioambiental/category/90-producao-e-consumo-sustentave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806C-AC87-4471-A846-4BF9A7C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2</cp:revision>
  <dcterms:created xsi:type="dcterms:W3CDTF">2019-10-21T14:53:00Z</dcterms:created>
  <dcterms:modified xsi:type="dcterms:W3CDTF">2019-10-21T14:57:00Z</dcterms:modified>
</cp:coreProperties>
</file>